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5F0C60" w:rsidP="00B8354C" w:rsidRDefault="005F0C60" w14:paraId="72E1799A" w14:textId="77777777">
      <w:pPr>
        <w:jc w:val="both"/>
        <w:rPr>
          <w:rFonts w:eastAsiaTheme="majorEastAsia" w:cstheme="minorHAnsi"/>
          <w:b/>
          <w:caps/>
          <w:color w:val="5B9BD5" w:themeColor="accent1"/>
        </w:rPr>
      </w:pPr>
    </w:p>
    <w:p w:rsidR="005F0C60" w:rsidP="00B8354C" w:rsidRDefault="005F0C60" w14:paraId="40E4DB2D" w14:textId="77777777">
      <w:pPr>
        <w:jc w:val="both"/>
        <w:rPr>
          <w:rFonts w:eastAsiaTheme="majorEastAsia" w:cstheme="minorHAnsi"/>
          <w:b/>
          <w:caps/>
          <w:color w:val="5B9BD5" w:themeColor="accent1"/>
        </w:rPr>
      </w:pPr>
      <w:bookmarkStart w:name="_GoBack" w:id="0"/>
      <w:bookmarkEnd w:id="0"/>
    </w:p>
    <w:p w:rsidRPr="005F0C60" w:rsidR="00656A86" w:rsidP="005F0C60" w:rsidRDefault="00D430D6" w14:paraId="12FF4E0C" w14:textId="1BD038A8">
      <w:pPr>
        <w:jc w:val="center"/>
        <w:rPr>
          <w:rFonts w:eastAsiaTheme="majorEastAsia" w:cstheme="minorHAnsi"/>
          <w:b/>
          <w:caps/>
          <w:color w:val="5B9BD5" w:themeColor="accent1"/>
          <w:u w:val="single"/>
        </w:rPr>
      </w:pPr>
      <w:r w:rsidRPr="005F0C60">
        <w:rPr>
          <w:rFonts w:ascii="Century Gothic" w:hAnsi="Century Gothic"/>
          <w:noProof/>
          <w:u w:val="single"/>
          <w:lang w:eastAsia="en-AU"/>
        </w:rPr>
        <w:drawing>
          <wp:anchor distT="0" distB="0" distL="114300" distR="114300" simplePos="0" relativeHeight="251659264" behindDoc="0" locked="0" layoutInCell="1" allowOverlap="1" wp14:anchorId="5D19FC23" wp14:editId="72788973">
            <wp:simplePos x="0" y="0"/>
            <wp:positionH relativeFrom="margin">
              <wp:posOffset>40640</wp:posOffset>
            </wp:positionH>
            <wp:positionV relativeFrom="margin">
              <wp:posOffset>-278765</wp:posOffset>
            </wp:positionV>
            <wp:extent cx="797560" cy="561596"/>
            <wp:effectExtent l="0" t="0" r="2540" b="0"/>
            <wp:wrapNone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92" t="27219" r="9685" b="26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56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3568C33" w:rsidR="005F0C60">
        <w:rPr>
          <w:rFonts w:eastAsia="" w:cs="Calibri" w:eastAsiaTheme="majorEastAsia" w:cstheme="minorAscii"/>
          <w:b w:val="1"/>
          <w:bCs w:val="1"/>
          <w:caps w:val="1"/>
          <w:color w:val="5B9BD5" w:themeColor="accent1"/>
          <w:u w:val="single"/>
        </w:rPr>
        <w:t>Curriculum Frameworks Policy</w:t>
      </w:r>
    </w:p>
    <w:p w:rsidRPr="005F0C60" w:rsidR="005F0C60" w:rsidP="00B8354C" w:rsidRDefault="00B8354C" w14:paraId="371D442B" w14:textId="68D6418A">
      <w:pPr>
        <w:jc w:val="both"/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  <w:t>PURPOSE</w:t>
      </w:r>
      <w:r w:rsidR="005F0C60"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  <w:t xml:space="preserve">                             </w:t>
      </w:r>
    </w:p>
    <w:p w:rsidRPr="00656A86" w:rsidR="00656A86" w:rsidP="00B8354C" w:rsidRDefault="00D430D6" w14:paraId="3FC15B54" w14:textId="67DC99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Murrabit Group </w:t>
      </w:r>
      <w:r w:rsidRPr="00073EE8" w:rsidR="00B8354C">
        <w:rPr>
          <w:rFonts w:cstheme="minorHAnsi"/>
          <w:color w:val="000000"/>
        </w:rPr>
        <w:t>School ensure</w:t>
      </w:r>
      <w:r w:rsidR="00D449BE">
        <w:rPr>
          <w:rFonts w:cstheme="minorHAnsi"/>
          <w:color w:val="000000"/>
        </w:rPr>
        <w:t>s</w:t>
      </w:r>
      <w:r w:rsidRPr="00073EE8" w:rsidR="00B8354C">
        <w:rPr>
          <w:rFonts w:cstheme="minorHAnsi"/>
          <w:color w:val="000000"/>
        </w:rPr>
        <w:t xml:space="preserve"> the i</w:t>
      </w:r>
      <w:r w:rsidRPr="00073EE8" w:rsidR="00656A86">
        <w:rPr>
          <w:rFonts w:cstheme="minorHAnsi"/>
          <w:color w:val="000000"/>
        </w:rPr>
        <w:t>mplementati</w:t>
      </w:r>
      <w:r w:rsidRPr="00073EE8" w:rsidR="00B8354C">
        <w:rPr>
          <w:rFonts w:cstheme="minorHAnsi"/>
          <w:color w:val="000000"/>
        </w:rPr>
        <w:t xml:space="preserve">on </w:t>
      </w:r>
      <w:r>
        <w:rPr>
          <w:rFonts w:cstheme="minorHAnsi"/>
          <w:color w:val="000000"/>
        </w:rPr>
        <w:t>of the Victorian Curriculum</w:t>
      </w:r>
      <w:r w:rsidRPr="00073EE8" w:rsidR="00073EE8">
        <w:rPr>
          <w:rFonts w:cstheme="minorHAnsi"/>
          <w:color w:val="000000"/>
        </w:rPr>
        <w:t xml:space="preserve"> </w:t>
      </w:r>
      <w:r w:rsidRPr="00073EE8" w:rsidR="00073EE8">
        <w:rPr>
          <w:rFonts w:cs="Calibri"/>
        </w:rPr>
        <w:t xml:space="preserve">and </w:t>
      </w:r>
      <w:r>
        <w:rPr>
          <w:rFonts w:cs="Calibri"/>
        </w:rPr>
        <w:t xml:space="preserve">the </w:t>
      </w:r>
      <w:r w:rsidRPr="00073EE8" w:rsidR="00073EE8">
        <w:rPr>
          <w:rFonts w:cs="Calibri"/>
        </w:rPr>
        <w:t>Victorian Early Years Learning and D</w:t>
      </w:r>
      <w:r>
        <w:rPr>
          <w:rFonts w:cs="Calibri"/>
        </w:rPr>
        <w:t>evelopmental Framework (VEYLDF).</w:t>
      </w:r>
      <w:r w:rsidRPr="00073EE8" w:rsidR="00656A86">
        <w:rPr>
          <w:rFonts w:cstheme="minorHAnsi"/>
          <w:color w:val="000000"/>
        </w:rPr>
        <w:t xml:space="preserve"> </w:t>
      </w:r>
      <w:r w:rsidRPr="00073EE8" w:rsidR="00B8354C">
        <w:rPr>
          <w:rFonts w:cstheme="minorHAnsi"/>
          <w:color w:val="000000"/>
        </w:rPr>
        <w:t xml:space="preserve">This </w:t>
      </w:r>
      <w:r w:rsidRPr="00073EE8" w:rsidR="00656A86">
        <w:rPr>
          <w:rFonts w:cstheme="minorHAnsi"/>
          <w:color w:val="000000"/>
        </w:rPr>
        <w:t>provides Prep to Year 6 students with a sequential curriculum framework for their learning, including measures of learning</w:t>
      </w:r>
      <w:r w:rsidRPr="00656A86" w:rsidR="00656A86">
        <w:rPr>
          <w:rFonts w:cstheme="minorHAnsi"/>
          <w:color w:val="000000"/>
        </w:rPr>
        <w:t xml:space="preserve"> achievement to assess student performance against the expected standards of their </w:t>
      </w:r>
      <w:r w:rsidR="00B8354C">
        <w:rPr>
          <w:rFonts w:cstheme="minorHAnsi"/>
          <w:color w:val="000000"/>
        </w:rPr>
        <w:t>year level.</w:t>
      </w:r>
    </w:p>
    <w:p w:rsidRPr="00656A86" w:rsidR="00656A86" w:rsidP="00B8354C" w:rsidRDefault="00656A86" w14:paraId="69855CAD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8354C" w:rsidP="00B8354C" w:rsidRDefault="00B8354C" w14:paraId="6E28C125" w14:textId="38CBBC49">
      <w:pPr>
        <w:jc w:val="both"/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  <w:t>OBJECTIVE</w:t>
      </w:r>
    </w:p>
    <w:p w:rsidR="00656A86" w:rsidP="00073EE8" w:rsidRDefault="00D430D6" w14:paraId="48A5FA86" w14:textId="50529B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Murrabit Group</w:t>
      </w:r>
      <w:r w:rsidR="00B8354C">
        <w:rPr>
          <w:rFonts w:cstheme="minorHAnsi"/>
          <w:color w:val="000000"/>
        </w:rPr>
        <w:t xml:space="preserve"> School </w:t>
      </w:r>
      <w:r w:rsidRPr="00656A86" w:rsidR="00656A86">
        <w:rPr>
          <w:rFonts w:cstheme="minorHAnsi"/>
          <w:color w:val="000000"/>
        </w:rPr>
        <w:t>optimise</w:t>
      </w:r>
      <w:r w:rsidR="00B8354C">
        <w:rPr>
          <w:rFonts w:cstheme="minorHAnsi"/>
          <w:color w:val="000000"/>
        </w:rPr>
        <w:t>s</w:t>
      </w:r>
      <w:r w:rsidRPr="00656A86" w:rsidR="00656A86">
        <w:rPr>
          <w:rFonts w:cstheme="minorHAnsi"/>
          <w:color w:val="000000"/>
        </w:rPr>
        <w:t xml:space="preserve"> student learning in a manner consistent with departmental requirements and locally identified needs.</w:t>
      </w:r>
    </w:p>
    <w:p w:rsidRPr="00073EE8" w:rsidR="00073EE8" w:rsidP="00073EE8" w:rsidRDefault="00073EE8" w14:paraId="3EC20886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Pr="00B8354C" w:rsidR="00B8354C" w:rsidP="00B8354C" w:rsidRDefault="00B8354C" w14:paraId="41DADA2E" w14:textId="459826FE">
      <w:pPr>
        <w:jc w:val="both"/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  <w:t>POLICY</w:t>
      </w:r>
    </w:p>
    <w:p w:rsidRPr="00656A86" w:rsidR="00656A86" w:rsidP="00B8354C" w:rsidRDefault="00D430D6" w14:paraId="4CAD8473" w14:textId="018D9C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Murrabit Group</w:t>
      </w:r>
      <w:r w:rsidR="00B8354C">
        <w:rPr>
          <w:rFonts w:cstheme="minorHAnsi"/>
          <w:color w:val="000000"/>
        </w:rPr>
        <w:t xml:space="preserve"> School</w:t>
      </w:r>
      <w:r w:rsidRPr="00656A86" w:rsidR="00656A86">
        <w:rPr>
          <w:rFonts w:cstheme="minorHAnsi"/>
          <w:color w:val="000000"/>
        </w:rPr>
        <w:t xml:space="preserve"> provides a comprehensive curriculum with</w:t>
      </w:r>
      <w:r w:rsidR="00656A86">
        <w:rPr>
          <w:rFonts w:cstheme="minorHAnsi"/>
          <w:color w:val="000000"/>
        </w:rPr>
        <w:t xml:space="preserve"> a strong focus on literacy and </w:t>
      </w:r>
      <w:r w:rsidRPr="00656A86" w:rsidR="00656A86">
        <w:rPr>
          <w:rFonts w:cstheme="minorHAnsi"/>
          <w:color w:val="000000"/>
        </w:rPr>
        <w:t>numeracy.</w:t>
      </w:r>
    </w:p>
    <w:p w:rsidR="00073EE8" w:rsidP="00073EE8" w:rsidRDefault="00073EE8" w14:paraId="2B28C5AC" w14:textId="3138A930">
      <w:pPr>
        <w:numPr>
          <w:ilvl w:val="0"/>
          <w:numId w:val="33"/>
        </w:numPr>
        <w:autoSpaceDE w:val="0"/>
        <w:autoSpaceDN w:val="0"/>
        <w:adjustRightInd w:val="0"/>
        <w:spacing w:after="97" w:line="240" w:lineRule="auto"/>
        <w:rPr>
          <w:rFonts w:cs="Calibri"/>
          <w:color w:val="000000"/>
          <w:lang w:eastAsia="en-AU"/>
        </w:rPr>
      </w:pPr>
      <w:r w:rsidRPr="00073EE8">
        <w:rPr>
          <w:rFonts w:cs="Calibri"/>
          <w:color w:val="000000"/>
          <w:lang w:eastAsia="en-AU"/>
        </w:rPr>
        <w:t xml:space="preserve">The curriculum shall be collaboratively planned, assessed and reflected upon by all teachers. This includes </w:t>
      </w:r>
      <w:r w:rsidRPr="00073EE8">
        <w:rPr>
          <w:rFonts w:cstheme="minorHAnsi"/>
          <w:color w:val="000000"/>
        </w:rPr>
        <w:t xml:space="preserve">school </w:t>
      </w:r>
      <w:r w:rsidRPr="00073EE8" w:rsidR="00B8354C">
        <w:rPr>
          <w:rFonts w:cstheme="minorHAnsi"/>
          <w:color w:val="000000"/>
        </w:rPr>
        <w:t xml:space="preserve">planning teams </w:t>
      </w:r>
      <w:r w:rsidR="00D430D6">
        <w:rPr>
          <w:rFonts w:cstheme="minorHAnsi"/>
          <w:color w:val="000000"/>
        </w:rPr>
        <w:t xml:space="preserve">that </w:t>
      </w:r>
      <w:r w:rsidRPr="00073EE8" w:rsidR="00656A86">
        <w:rPr>
          <w:rFonts w:cstheme="minorHAnsi"/>
          <w:color w:val="000000"/>
        </w:rPr>
        <w:t>focus on literacy, numeracy and the integration of learning areas and capabilities.</w:t>
      </w:r>
    </w:p>
    <w:p w:rsidRPr="00073EE8" w:rsidR="00656A86" w:rsidP="00073EE8" w:rsidRDefault="00B8354C" w14:paraId="12C56F4C" w14:textId="5634179F">
      <w:pPr>
        <w:numPr>
          <w:ilvl w:val="0"/>
          <w:numId w:val="33"/>
        </w:numPr>
        <w:autoSpaceDE w:val="0"/>
        <w:autoSpaceDN w:val="0"/>
        <w:adjustRightInd w:val="0"/>
        <w:spacing w:after="97" w:line="240" w:lineRule="auto"/>
        <w:rPr>
          <w:rFonts w:cs="Calibri"/>
          <w:color w:val="000000"/>
          <w:lang w:eastAsia="en-AU"/>
        </w:rPr>
      </w:pPr>
      <w:r w:rsidRPr="00073EE8">
        <w:rPr>
          <w:rFonts w:cstheme="minorHAnsi"/>
          <w:color w:val="000000"/>
        </w:rPr>
        <w:t xml:space="preserve">The staff is focused on continuous analysis of a range </w:t>
      </w:r>
      <w:r w:rsidRPr="00073EE8" w:rsidR="00656A86">
        <w:rPr>
          <w:rFonts w:cstheme="minorHAnsi"/>
          <w:color w:val="000000"/>
        </w:rPr>
        <w:t>of data around school improvement.</w:t>
      </w:r>
    </w:p>
    <w:p w:rsidRPr="00073EE8" w:rsidR="00073EE8" w:rsidP="00073EE8" w:rsidRDefault="00073EE8" w14:paraId="277B1B2F" w14:textId="4F35BB2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en-AU"/>
        </w:rPr>
      </w:pPr>
      <w:r w:rsidRPr="00073EE8">
        <w:rPr>
          <w:rFonts w:cs="Calibri"/>
          <w:color w:val="000000"/>
          <w:lang w:eastAsia="en-AU"/>
        </w:rPr>
        <w:t xml:space="preserve">Every child’s academic progress shall be closely monitored and teachers should implement best practices, using a variety of evidence based instructional and curriculum techniques to ensure that learning is targeted and that children are engaged with their learning. </w:t>
      </w:r>
    </w:p>
    <w:p w:rsidRPr="00656A86" w:rsidR="00656A86" w:rsidP="00B8354C" w:rsidRDefault="00656A86" w14:paraId="2974F568" w14:textId="65BF558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56A86">
        <w:rPr>
          <w:rFonts w:cstheme="minorHAnsi"/>
          <w:color w:val="000000"/>
        </w:rPr>
        <w:t xml:space="preserve">School Council has the opportunity to provide input as part of the </w:t>
      </w:r>
      <w:r w:rsidR="00DA23E5">
        <w:rPr>
          <w:rFonts w:cstheme="minorHAnsi"/>
          <w:color w:val="000000"/>
        </w:rPr>
        <w:t>Annual Implementation Plan (</w:t>
      </w:r>
      <w:r w:rsidRPr="00656A86">
        <w:rPr>
          <w:rFonts w:cstheme="minorHAnsi"/>
          <w:color w:val="000000"/>
        </w:rPr>
        <w:t>AIP</w:t>
      </w:r>
      <w:r w:rsidR="00DA23E5">
        <w:rPr>
          <w:rFonts w:cstheme="minorHAnsi"/>
          <w:color w:val="000000"/>
        </w:rPr>
        <w:t>)</w:t>
      </w:r>
      <w:r w:rsidRPr="00656A86">
        <w:rPr>
          <w:rFonts w:cstheme="minorHAnsi"/>
          <w:color w:val="000000"/>
        </w:rPr>
        <w:t xml:space="preserve">. </w:t>
      </w:r>
    </w:p>
    <w:p w:rsidR="00656A86" w:rsidP="00B8354C" w:rsidRDefault="00656A86" w14:paraId="2BCA8F46" w14:textId="7777777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56A86">
        <w:rPr>
          <w:rFonts w:cstheme="minorHAnsi"/>
          <w:color w:val="000000"/>
        </w:rPr>
        <w:t>A staff member is assigned accountability for leading the curriculum approach and ensuring</w:t>
      </w:r>
      <w:r>
        <w:rPr>
          <w:rFonts w:cstheme="minorHAnsi"/>
          <w:color w:val="000000"/>
        </w:rPr>
        <w:t xml:space="preserve"> </w:t>
      </w:r>
      <w:r w:rsidRPr="00656A86">
        <w:rPr>
          <w:rFonts w:cstheme="minorHAnsi"/>
          <w:color w:val="000000"/>
        </w:rPr>
        <w:t>compliance with Department of Education timelines and reporting requirements.</w:t>
      </w:r>
    </w:p>
    <w:p w:rsidR="00656A86" w:rsidP="00B8354C" w:rsidRDefault="00B8354C" w14:paraId="0DA2FE93" w14:textId="6189956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</w:t>
      </w:r>
      <w:r w:rsidRPr="00656A86" w:rsidR="00656A86">
        <w:rPr>
          <w:rFonts w:cstheme="minorHAnsi"/>
          <w:color w:val="000000"/>
        </w:rPr>
        <w:t>rofessional development opportunit</w:t>
      </w:r>
      <w:r w:rsidR="00656A86">
        <w:rPr>
          <w:rFonts w:cstheme="minorHAnsi"/>
          <w:color w:val="000000"/>
        </w:rPr>
        <w:t xml:space="preserve">ies will be provided, as well as </w:t>
      </w:r>
      <w:r w:rsidRPr="00656A86" w:rsidR="00656A86">
        <w:rPr>
          <w:rFonts w:cstheme="minorHAnsi"/>
          <w:color w:val="000000"/>
        </w:rPr>
        <w:t xml:space="preserve">personal professional development plans that cater </w:t>
      </w:r>
      <w:r w:rsidR="00656A86">
        <w:rPr>
          <w:rFonts w:cstheme="minorHAnsi"/>
          <w:color w:val="000000"/>
        </w:rPr>
        <w:t xml:space="preserve">for curriculum understanding an </w:t>
      </w:r>
      <w:r w:rsidRPr="00656A86" w:rsidR="00656A86">
        <w:rPr>
          <w:rFonts w:cstheme="minorHAnsi"/>
          <w:color w:val="000000"/>
        </w:rPr>
        <w:t>implementation needs of each staff member.</w:t>
      </w:r>
    </w:p>
    <w:p w:rsidR="00656A86" w:rsidP="00B8354C" w:rsidRDefault="00656A86" w14:paraId="1C8D9D9C" w14:textId="5D49E14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56A86">
        <w:rPr>
          <w:rFonts w:cstheme="minorHAnsi"/>
          <w:color w:val="000000"/>
        </w:rPr>
        <w:t>The community will be kept informed of the Curriculum through a range of forums, which may include</w:t>
      </w:r>
      <w:r>
        <w:rPr>
          <w:rFonts w:cstheme="minorHAnsi"/>
          <w:color w:val="000000"/>
        </w:rPr>
        <w:t xml:space="preserve"> </w:t>
      </w:r>
      <w:r w:rsidR="00D430D6">
        <w:rPr>
          <w:rFonts w:cstheme="minorHAnsi"/>
          <w:color w:val="000000"/>
        </w:rPr>
        <w:t>Facebook</w:t>
      </w:r>
      <w:r w:rsidRPr="00656A86">
        <w:rPr>
          <w:rFonts w:cstheme="minorHAnsi"/>
          <w:color w:val="000000"/>
        </w:rPr>
        <w:t>, curriculum celebrations, and the school newsletter.</w:t>
      </w:r>
    </w:p>
    <w:p w:rsidR="00656A86" w:rsidP="00B8354C" w:rsidRDefault="00656A86" w14:paraId="1F6A54A1" w14:textId="7654E34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56A86">
        <w:rPr>
          <w:rFonts w:cstheme="minorHAnsi"/>
          <w:color w:val="000000"/>
        </w:rPr>
        <w:t>Our strategic plan incorporates assessments of existing curriculum areas against the Victorian</w:t>
      </w:r>
      <w:r>
        <w:rPr>
          <w:rFonts w:cstheme="minorHAnsi"/>
          <w:color w:val="000000"/>
        </w:rPr>
        <w:t xml:space="preserve"> </w:t>
      </w:r>
      <w:r w:rsidRPr="00656A86">
        <w:rPr>
          <w:rFonts w:cstheme="minorHAnsi"/>
          <w:color w:val="000000"/>
        </w:rPr>
        <w:t>Curriculum, and requires staff collaboration to achieve consistency with</w:t>
      </w:r>
      <w:r>
        <w:rPr>
          <w:rFonts w:cstheme="minorHAnsi"/>
          <w:color w:val="000000"/>
        </w:rPr>
        <w:t xml:space="preserve"> </w:t>
      </w:r>
      <w:r w:rsidRPr="00656A86">
        <w:rPr>
          <w:rFonts w:cstheme="minorHAnsi"/>
          <w:color w:val="000000"/>
        </w:rPr>
        <w:t>curriculum implementation and transitions.</w:t>
      </w:r>
    </w:p>
    <w:p w:rsidR="00656A86" w:rsidP="00B8354C" w:rsidRDefault="00656A86" w14:paraId="3ACABAC7" w14:textId="7777777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56A86">
        <w:rPr>
          <w:rFonts w:cstheme="minorHAnsi"/>
          <w:color w:val="000000"/>
        </w:rPr>
        <w:t>All teachers are required to provide lessons based on student needs using agreed planning</w:t>
      </w:r>
      <w:r>
        <w:rPr>
          <w:rFonts w:cstheme="minorHAnsi"/>
          <w:color w:val="000000"/>
        </w:rPr>
        <w:t xml:space="preserve"> </w:t>
      </w:r>
      <w:r w:rsidRPr="00656A86">
        <w:rPr>
          <w:rFonts w:cstheme="minorHAnsi"/>
          <w:color w:val="000000"/>
        </w:rPr>
        <w:t>templates, assessment tools and session structures. This is reviewed regularly at staff meetings.</w:t>
      </w:r>
    </w:p>
    <w:p w:rsidRPr="00F578ED" w:rsidR="00F578ED" w:rsidP="00F578ED" w:rsidRDefault="00656A86" w14:paraId="525FFA94" w14:textId="77777777">
      <w:pPr>
        <w:numPr>
          <w:ilvl w:val="0"/>
          <w:numId w:val="36"/>
        </w:numPr>
        <w:autoSpaceDE w:val="0"/>
        <w:autoSpaceDN w:val="0"/>
        <w:adjustRightInd w:val="0"/>
        <w:spacing w:after="97" w:line="240" w:lineRule="auto"/>
        <w:rPr>
          <w:rFonts w:cs="Calibri"/>
          <w:color w:val="000000"/>
          <w:sz w:val="20"/>
          <w:szCs w:val="20"/>
          <w:lang w:eastAsia="en-AU"/>
        </w:rPr>
      </w:pPr>
      <w:r w:rsidRPr="00656A86">
        <w:rPr>
          <w:rFonts w:cstheme="minorHAnsi"/>
          <w:color w:val="000000"/>
        </w:rPr>
        <w:t>Allocation of hours for each subject area will be in line with the DET recommendations.</w:t>
      </w:r>
      <w:r w:rsidR="00073EE8">
        <w:rPr>
          <w:rFonts w:cstheme="minorHAnsi"/>
          <w:color w:val="000000"/>
        </w:rPr>
        <w:t xml:space="preserve"> </w:t>
      </w:r>
    </w:p>
    <w:p w:rsidRPr="00F578ED" w:rsidR="00F578ED" w:rsidP="00F578ED" w:rsidRDefault="00073EE8" w14:paraId="72E562AD" w14:textId="58BF992E">
      <w:pPr>
        <w:numPr>
          <w:ilvl w:val="0"/>
          <w:numId w:val="36"/>
        </w:numPr>
        <w:autoSpaceDE w:val="0"/>
        <w:autoSpaceDN w:val="0"/>
        <w:adjustRightInd w:val="0"/>
        <w:spacing w:after="97" w:line="240" w:lineRule="auto"/>
        <w:rPr>
          <w:rFonts w:cs="Calibri"/>
          <w:color w:val="000000"/>
          <w:sz w:val="20"/>
          <w:szCs w:val="20"/>
          <w:lang w:eastAsia="en-AU"/>
        </w:rPr>
      </w:pPr>
      <w:r w:rsidRPr="00F578ED">
        <w:rPr>
          <w:rFonts w:cs="Calibri"/>
          <w:color w:val="000000"/>
          <w:lang w:eastAsia="en-AU"/>
        </w:rPr>
        <w:t>The School will comply with all DET guidelines in regards to the length of student instruction time in Victorian schools and provides at least 25 hours of face-to-face student ins</w:t>
      </w:r>
      <w:r w:rsidRPr="00F578ED" w:rsidR="002F5893">
        <w:rPr>
          <w:rFonts w:cs="Calibri"/>
          <w:color w:val="000000"/>
          <w:lang w:eastAsia="en-AU"/>
        </w:rPr>
        <w:t xml:space="preserve">truction per week. </w:t>
      </w:r>
      <w:r w:rsidRPr="00F578ED" w:rsidR="00F578ED">
        <w:t>The current school timetable in structured into three sessio</w:t>
      </w:r>
      <w:r w:rsidR="00D430D6">
        <w:t>ns of a 2 hour morning block, 2hr middle and 60</w:t>
      </w:r>
      <w:r w:rsidRPr="00F578ED" w:rsidR="00F578ED">
        <w:t xml:space="preserve"> minute afternoon block. The breakdown of the weekly cycle is as follows.</w:t>
      </w:r>
    </w:p>
    <w:p w:rsidRPr="00F578ED" w:rsidR="00F578ED" w:rsidP="00F578ED" w:rsidRDefault="00F578ED" w14:paraId="4A4B91F7" w14:textId="77777777">
      <w:pPr>
        <w:autoSpaceDE w:val="0"/>
        <w:autoSpaceDN w:val="0"/>
        <w:adjustRightInd w:val="0"/>
        <w:spacing w:after="97" w:line="240" w:lineRule="auto"/>
        <w:ind w:left="720"/>
        <w:rPr>
          <w:rFonts w:cs="Calibri"/>
          <w:color w:val="000000"/>
          <w:sz w:val="20"/>
          <w:szCs w:val="20"/>
          <w:lang w:eastAsia="en-AU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261"/>
        <w:gridCol w:w="1961"/>
        <w:gridCol w:w="3142"/>
        <w:gridCol w:w="2126"/>
      </w:tblGrid>
      <w:tr w:rsidR="00F578ED" w:rsidTr="00D3005E" w14:paraId="29739E74" w14:textId="77777777">
        <w:tc>
          <w:tcPr>
            <w:tcW w:w="10490" w:type="dxa"/>
            <w:gridSpan w:val="4"/>
            <w:shd w:val="clear" w:color="auto" w:fill="00B0F0"/>
          </w:tcPr>
          <w:p w:rsidRPr="00F578ED" w:rsidR="00F578ED" w:rsidP="00F578ED" w:rsidRDefault="00F578ED" w14:paraId="2B66FFE4" w14:textId="77777777">
            <w:pPr>
              <w:pStyle w:val="ListParagraph"/>
              <w:numPr>
                <w:ilvl w:val="0"/>
                <w:numId w:val="36"/>
              </w:numPr>
              <w:jc w:val="center"/>
              <w:rPr>
                <w:b/>
              </w:rPr>
            </w:pPr>
            <w:r w:rsidRPr="00F578ED">
              <w:rPr>
                <w:b/>
              </w:rPr>
              <w:t>Prep to Year 2</w:t>
            </w:r>
          </w:p>
        </w:tc>
      </w:tr>
      <w:tr w:rsidR="00F578ED" w:rsidTr="00D3005E" w14:paraId="20B39100" w14:textId="77777777">
        <w:tc>
          <w:tcPr>
            <w:tcW w:w="5222" w:type="dxa"/>
            <w:gridSpan w:val="2"/>
            <w:shd w:val="clear" w:color="auto" w:fill="00B0F0"/>
          </w:tcPr>
          <w:p w:rsidRPr="009F0B13" w:rsidR="00F578ED" w:rsidP="00D3005E" w:rsidRDefault="00F578ED" w14:paraId="53928CB3" w14:textId="77777777">
            <w:pPr>
              <w:jc w:val="center"/>
              <w:rPr>
                <w:b/>
              </w:rPr>
            </w:pPr>
            <w:r w:rsidRPr="009F0B13">
              <w:rPr>
                <w:b/>
              </w:rPr>
              <w:t>Prep</w:t>
            </w:r>
          </w:p>
        </w:tc>
        <w:tc>
          <w:tcPr>
            <w:tcW w:w="5268" w:type="dxa"/>
            <w:gridSpan w:val="2"/>
            <w:shd w:val="clear" w:color="auto" w:fill="00B0F0"/>
          </w:tcPr>
          <w:p w:rsidRPr="009F0B13" w:rsidR="00F578ED" w:rsidP="00D3005E" w:rsidRDefault="00F578ED" w14:paraId="382C9096" w14:textId="77777777">
            <w:pPr>
              <w:jc w:val="center"/>
              <w:rPr>
                <w:b/>
              </w:rPr>
            </w:pPr>
            <w:r w:rsidRPr="009F0B13">
              <w:rPr>
                <w:b/>
              </w:rPr>
              <w:t>Year 1-2</w:t>
            </w:r>
          </w:p>
        </w:tc>
      </w:tr>
      <w:tr w:rsidR="00F578ED" w:rsidTr="00D3005E" w14:paraId="601015E8" w14:textId="77777777">
        <w:tc>
          <w:tcPr>
            <w:tcW w:w="3261" w:type="dxa"/>
            <w:shd w:val="clear" w:color="auto" w:fill="BFBFBF" w:themeFill="background1" w:themeFillShade="BF"/>
          </w:tcPr>
          <w:p w:rsidRPr="009F0B13" w:rsidR="00F578ED" w:rsidP="00D3005E" w:rsidRDefault="00F578ED" w14:paraId="23CE83EB" w14:textId="77777777">
            <w:pPr>
              <w:rPr>
                <w:b/>
              </w:rPr>
            </w:pPr>
            <w:r w:rsidRPr="009F0B13">
              <w:rPr>
                <w:b/>
              </w:rPr>
              <w:t>Domain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:rsidRPr="009F0B13" w:rsidR="00F578ED" w:rsidP="00D3005E" w:rsidRDefault="00F578ED" w14:paraId="44A79CD2" w14:textId="77777777">
            <w:pPr>
              <w:rPr>
                <w:b/>
              </w:rPr>
            </w:pPr>
            <w:r w:rsidRPr="009F0B13">
              <w:rPr>
                <w:b/>
              </w:rPr>
              <w:t>Minutes Per Week</w:t>
            </w:r>
          </w:p>
        </w:tc>
        <w:tc>
          <w:tcPr>
            <w:tcW w:w="3142" w:type="dxa"/>
            <w:shd w:val="clear" w:color="auto" w:fill="BFBFBF" w:themeFill="background1" w:themeFillShade="BF"/>
          </w:tcPr>
          <w:p w:rsidRPr="009F0B13" w:rsidR="00F578ED" w:rsidP="00D3005E" w:rsidRDefault="00F578ED" w14:paraId="6D3804F2" w14:textId="77777777">
            <w:pPr>
              <w:rPr>
                <w:b/>
              </w:rPr>
            </w:pPr>
            <w:r w:rsidRPr="009F0B13">
              <w:rPr>
                <w:b/>
              </w:rPr>
              <w:t>Domain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Pr="009F0B13" w:rsidR="00F578ED" w:rsidP="00D3005E" w:rsidRDefault="00F578ED" w14:paraId="19229DE5" w14:textId="77777777">
            <w:pPr>
              <w:rPr>
                <w:b/>
              </w:rPr>
            </w:pPr>
            <w:r w:rsidRPr="009F0B13">
              <w:rPr>
                <w:b/>
              </w:rPr>
              <w:t>Minutes Per Week</w:t>
            </w:r>
          </w:p>
        </w:tc>
      </w:tr>
      <w:tr w:rsidR="00F578ED" w:rsidTr="00D3005E" w14:paraId="676CF018" w14:textId="77777777">
        <w:tc>
          <w:tcPr>
            <w:tcW w:w="3261" w:type="dxa"/>
          </w:tcPr>
          <w:p w:rsidR="00F578ED" w:rsidP="00D3005E" w:rsidRDefault="00F578ED" w14:paraId="64255C91" w14:textId="77777777">
            <w:r>
              <w:t>English</w:t>
            </w:r>
          </w:p>
        </w:tc>
        <w:tc>
          <w:tcPr>
            <w:tcW w:w="1961" w:type="dxa"/>
          </w:tcPr>
          <w:p w:rsidR="00F578ED" w:rsidP="00D3005E" w:rsidRDefault="00135397" w14:paraId="085D071D" w14:textId="2BAD038F">
            <w:pPr>
              <w:jc w:val="center"/>
            </w:pPr>
            <w:r>
              <w:t>720</w:t>
            </w:r>
          </w:p>
        </w:tc>
        <w:tc>
          <w:tcPr>
            <w:tcW w:w="3142" w:type="dxa"/>
          </w:tcPr>
          <w:p w:rsidR="00F578ED" w:rsidP="00D3005E" w:rsidRDefault="00F578ED" w14:paraId="73E68E3E" w14:textId="77777777">
            <w:r>
              <w:t>English</w:t>
            </w:r>
          </w:p>
        </w:tc>
        <w:tc>
          <w:tcPr>
            <w:tcW w:w="2126" w:type="dxa"/>
          </w:tcPr>
          <w:p w:rsidR="00F578ED" w:rsidP="00D3005E" w:rsidRDefault="00135397" w14:paraId="6EEBCEE4" w14:textId="69E2FB99">
            <w:pPr>
              <w:jc w:val="center"/>
            </w:pPr>
            <w:r>
              <w:t>720</w:t>
            </w:r>
          </w:p>
        </w:tc>
      </w:tr>
      <w:tr w:rsidR="00F578ED" w:rsidTr="00D3005E" w14:paraId="01D18FEE" w14:textId="77777777">
        <w:tc>
          <w:tcPr>
            <w:tcW w:w="3261" w:type="dxa"/>
          </w:tcPr>
          <w:p w:rsidR="00F578ED" w:rsidP="00D3005E" w:rsidRDefault="00F578ED" w14:paraId="5943BEE1" w14:textId="77777777">
            <w:r>
              <w:t>Mathematics</w:t>
            </w:r>
          </w:p>
        </w:tc>
        <w:tc>
          <w:tcPr>
            <w:tcW w:w="1961" w:type="dxa"/>
          </w:tcPr>
          <w:p w:rsidR="00F578ED" w:rsidP="00D3005E" w:rsidRDefault="00F578ED" w14:paraId="16FEA8BD" w14:textId="77777777">
            <w:pPr>
              <w:jc w:val="center"/>
            </w:pPr>
            <w:r>
              <w:t>300</w:t>
            </w:r>
          </w:p>
        </w:tc>
        <w:tc>
          <w:tcPr>
            <w:tcW w:w="3142" w:type="dxa"/>
          </w:tcPr>
          <w:p w:rsidR="00F578ED" w:rsidP="00D3005E" w:rsidRDefault="00F578ED" w14:paraId="429C1CD2" w14:textId="77777777">
            <w:r>
              <w:t>Mathematics</w:t>
            </w:r>
          </w:p>
        </w:tc>
        <w:tc>
          <w:tcPr>
            <w:tcW w:w="2126" w:type="dxa"/>
          </w:tcPr>
          <w:p w:rsidR="00F578ED" w:rsidP="00D3005E" w:rsidRDefault="00F578ED" w14:paraId="7A0A8D09" w14:textId="77777777">
            <w:pPr>
              <w:jc w:val="center"/>
            </w:pPr>
            <w:r>
              <w:t>300</w:t>
            </w:r>
          </w:p>
        </w:tc>
      </w:tr>
      <w:tr w:rsidR="00F578ED" w:rsidTr="00D3005E" w14:paraId="3498818D" w14:textId="77777777">
        <w:tc>
          <w:tcPr>
            <w:tcW w:w="3261" w:type="dxa"/>
          </w:tcPr>
          <w:p w:rsidR="00F578ED" w:rsidP="00D3005E" w:rsidRDefault="00F578ED" w14:paraId="5F8B4219" w14:textId="77777777">
            <w:r>
              <w:t>Integrated Inquiry Studies</w:t>
            </w:r>
          </w:p>
          <w:p w:rsidR="00F578ED" w:rsidP="00D3005E" w:rsidRDefault="00F578ED" w14:paraId="7C73B277" w14:textId="77777777">
            <w:r>
              <w:t xml:space="preserve">               including </w:t>
            </w:r>
            <w:r w:rsidRPr="00CF4682">
              <w:rPr>
                <w:i/>
              </w:rPr>
              <w:t>The Humanities</w:t>
            </w:r>
          </w:p>
        </w:tc>
        <w:tc>
          <w:tcPr>
            <w:tcW w:w="1961" w:type="dxa"/>
          </w:tcPr>
          <w:p w:rsidR="00F578ED" w:rsidP="00D3005E" w:rsidRDefault="00F578ED" w14:paraId="7D9279F6" w14:textId="77777777">
            <w:pPr>
              <w:jc w:val="center"/>
            </w:pPr>
            <w:r>
              <w:t>90</w:t>
            </w:r>
          </w:p>
        </w:tc>
        <w:tc>
          <w:tcPr>
            <w:tcW w:w="3142" w:type="dxa"/>
          </w:tcPr>
          <w:p w:rsidR="00F578ED" w:rsidP="00D3005E" w:rsidRDefault="00F578ED" w14:paraId="775DC095" w14:textId="77777777">
            <w:r>
              <w:t>Integrated Inquiry Studies</w:t>
            </w:r>
          </w:p>
          <w:p w:rsidR="00F578ED" w:rsidP="00D3005E" w:rsidRDefault="00F578ED" w14:paraId="62B21BD2" w14:textId="77777777">
            <w:r>
              <w:t xml:space="preserve">           including </w:t>
            </w:r>
            <w:r w:rsidRPr="00CF4682">
              <w:rPr>
                <w:i/>
              </w:rPr>
              <w:t>The Humanities</w:t>
            </w:r>
          </w:p>
        </w:tc>
        <w:tc>
          <w:tcPr>
            <w:tcW w:w="2126" w:type="dxa"/>
          </w:tcPr>
          <w:p w:rsidR="00F578ED" w:rsidP="00D3005E" w:rsidRDefault="00F578ED" w14:paraId="65E245B1" w14:textId="77777777">
            <w:pPr>
              <w:jc w:val="center"/>
            </w:pPr>
            <w:r>
              <w:t>90</w:t>
            </w:r>
          </w:p>
        </w:tc>
      </w:tr>
      <w:tr w:rsidR="00F578ED" w:rsidTr="00D3005E" w14:paraId="03226CD8" w14:textId="77777777">
        <w:tc>
          <w:tcPr>
            <w:tcW w:w="3261" w:type="dxa"/>
          </w:tcPr>
          <w:p w:rsidR="00F578ED" w:rsidP="00D3005E" w:rsidRDefault="00F578ED" w14:paraId="6D17B696" w14:textId="77777777">
            <w:r>
              <w:t>The Arts (Music, Visual Art)</w:t>
            </w:r>
          </w:p>
        </w:tc>
        <w:tc>
          <w:tcPr>
            <w:tcW w:w="1961" w:type="dxa"/>
          </w:tcPr>
          <w:p w:rsidR="00F578ED" w:rsidP="00D3005E" w:rsidRDefault="00205922" w14:paraId="41C47F85" w14:textId="4119DF79">
            <w:pPr>
              <w:jc w:val="center"/>
            </w:pPr>
            <w:r>
              <w:t>120</w:t>
            </w:r>
          </w:p>
        </w:tc>
        <w:tc>
          <w:tcPr>
            <w:tcW w:w="3142" w:type="dxa"/>
          </w:tcPr>
          <w:p w:rsidR="00F578ED" w:rsidP="00D3005E" w:rsidRDefault="00F578ED" w14:paraId="2A5CE1DE" w14:textId="77777777">
            <w:r>
              <w:t>The Arts (Music, Visual Art)</w:t>
            </w:r>
          </w:p>
        </w:tc>
        <w:tc>
          <w:tcPr>
            <w:tcW w:w="2126" w:type="dxa"/>
          </w:tcPr>
          <w:p w:rsidR="00F578ED" w:rsidP="00D3005E" w:rsidRDefault="00205922" w14:paraId="4851BF3D" w14:textId="72309F95">
            <w:pPr>
              <w:jc w:val="center"/>
            </w:pPr>
            <w:r>
              <w:t>120</w:t>
            </w:r>
          </w:p>
        </w:tc>
      </w:tr>
      <w:tr w:rsidR="00F578ED" w:rsidTr="00D3005E" w14:paraId="5EFA09A7" w14:textId="77777777">
        <w:tc>
          <w:tcPr>
            <w:tcW w:w="3261" w:type="dxa"/>
          </w:tcPr>
          <w:p w:rsidR="00F578ED" w:rsidP="00D3005E" w:rsidRDefault="00205922" w14:paraId="5AB63A3D" w14:textId="3B17AADB">
            <w:r>
              <w:t>Languages (Italian</w:t>
            </w:r>
            <w:r w:rsidR="00F578ED">
              <w:t>)</w:t>
            </w:r>
          </w:p>
        </w:tc>
        <w:tc>
          <w:tcPr>
            <w:tcW w:w="1961" w:type="dxa"/>
          </w:tcPr>
          <w:p w:rsidR="00F578ED" w:rsidP="00D3005E" w:rsidRDefault="00205922" w14:paraId="1BE5109A" w14:textId="1A33EA59">
            <w:pPr>
              <w:jc w:val="center"/>
            </w:pPr>
            <w:r>
              <w:t>30</w:t>
            </w:r>
          </w:p>
        </w:tc>
        <w:tc>
          <w:tcPr>
            <w:tcW w:w="3142" w:type="dxa"/>
          </w:tcPr>
          <w:p w:rsidR="00F578ED" w:rsidP="00D3005E" w:rsidRDefault="00205922" w14:paraId="3DBAB7A4" w14:textId="26113D66">
            <w:r>
              <w:t>Languages (Italian</w:t>
            </w:r>
            <w:r w:rsidR="00F578ED">
              <w:t>)</w:t>
            </w:r>
          </w:p>
        </w:tc>
        <w:tc>
          <w:tcPr>
            <w:tcW w:w="2126" w:type="dxa"/>
          </w:tcPr>
          <w:p w:rsidR="00F578ED" w:rsidP="00D3005E" w:rsidRDefault="00205922" w14:paraId="3F23E44C" w14:textId="046FE3F0">
            <w:pPr>
              <w:jc w:val="center"/>
            </w:pPr>
            <w:r>
              <w:t>30</w:t>
            </w:r>
          </w:p>
        </w:tc>
      </w:tr>
      <w:tr w:rsidR="00F578ED" w:rsidTr="00D3005E" w14:paraId="154D6247" w14:textId="77777777">
        <w:tc>
          <w:tcPr>
            <w:tcW w:w="3261" w:type="dxa"/>
          </w:tcPr>
          <w:p w:rsidR="00F578ED" w:rsidP="00D3005E" w:rsidRDefault="00A8210D" w14:paraId="395147E6" w14:textId="55676504">
            <w:r>
              <w:t>Health,</w:t>
            </w:r>
            <w:r w:rsidR="00F578ED">
              <w:t xml:space="preserve"> Physical Education</w:t>
            </w:r>
            <w:r>
              <w:t xml:space="preserve"> and Well Being</w:t>
            </w:r>
          </w:p>
        </w:tc>
        <w:tc>
          <w:tcPr>
            <w:tcW w:w="1961" w:type="dxa"/>
          </w:tcPr>
          <w:p w:rsidR="00F578ED" w:rsidP="00D3005E" w:rsidRDefault="00F578ED" w14:paraId="7E402289" w14:textId="77777777">
            <w:pPr>
              <w:jc w:val="center"/>
            </w:pPr>
            <w:r>
              <w:t>120</w:t>
            </w:r>
          </w:p>
        </w:tc>
        <w:tc>
          <w:tcPr>
            <w:tcW w:w="3142" w:type="dxa"/>
          </w:tcPr>
          <w:p w:rsidR="00F578ED" w:rsidP="00D3005E" w:rsidRDefault="00A8210D" w14:paraId="7D79D5C1" w14:textId="60BD65D3">
            <w:r>
              <w:t>Health,</w:t>
            </w:r>
            <w:r w:rsidR="00F578ED">
              <w:t xml:space="preserve"> Physical Education</w:t>
            </w:r>
            <w:r>
              <w:t xml:space="preserve"> and Well being</w:t>
            </w:r>
          </w:p>
        </w:tc>
        <w:tc>
          <w:tcPr>
            <w:tcW w:w="2126" w:type="dxa"/>
          </w:tcPr>
          <w:p w:rsidR="00F578ED" w:rsidP="00D3005E" w:rsidRDefault="00F578ED" w14:paraId="460A5435" w14:textId="77777777">
            <w:pPr>
              <w:jc w:val="center"/>
            </w:pPr>
            <w:r>
              <w:t>120</w:t>
            </w:r>
          </w:p>
        </w:tc>
      </w:tr>
      <w:tr w:rsidR="00F578ED" w:rsidTr="00D3005E" w14:paraId="1C96B646" w14:textId="77777777">
        <w:tc>
          <w:tcPr>
            <w:tcW w:w="3261" w:type="dxa"/>
          </w:tcPr>
          <w:p w:rsidR="00F578ED" w:rsidP="00D3005E" w:rsidRDefault="00F578ED" w14:paraId="54BFFC48" w14:textId="77777777">
            <w:r>
              <w:lastRenderedPageBreak/>
              <w:t>Science</w:t>
            </w:r>
          </w:p>
        </w:tc>
        <w:tc>
          <w:tcPr>
            <w:tcW w:w="1961" w:type="dxa"/>
          </w:tcPr>
          <w:p w:rsidR="00F578ED" w:rsidP="00D3005E" w:rsidRDefault="00205922" w14:paraId="643E42BA" w14:textId="7436645A">
            <w:pPr>
              <w:jc w:val="center"/>
            </w:pPr>
            <w:r>
              <w:t>60</w:t>
            </w:r>
          </w:p>
        </w:tc>
        <w:tc>
          <w:tcPr>
            <w:tcW w:w="3142" w:type="dxa"/>
          </w:tcPr>
          <w:p w:rsidR="00F578ED" w:rsidP="00D3005E" w:rsidRDefault="00F578ED" w14:paraId="4392BAFA" w14:textId="77777777">
            <w:r>
              <w:t>Science</w:t>
            </w:r>
          </w:p>
        </w:tc>
        <w:tc>
          <w:tcPr>
            <w:tcW w:w="2126" w:type="dxa"/>
          </w:tcPr>
          <w:p w:rsidR="00F578ED" w:rsidP="00D3005E" w:rsidRDefault="00205922" w14:paraId="6F1BE7C0" w14:textId="429B6992">
            <w:pPr>
              <w:jc w:val="center"/>
            </w:pPr>
            <w:r>
              <w:t>60</w:t>
            </w:r>
          </w:p>
        </w:tc>
      </w:tr>
      <w:tr w:rsidR="00135397" w:rsidTr="00D3005E" w14:paraId="4FFD44E6" w14:textId="77777777">
        <w:tc>
          <w:tcPr>
            <w:tcW w:w="3261" w:type="dxa"/>
          </w:tcPr>
          <w:p w:rsidR="00135397" w:rsidP="00D3005E" w:rsidRDefault="00135397" w14:paraId="26173AAE" w14:textId="2D361E26">
            <w:r>
              <w:t>Digital Technologies</w:t>
            </w:r>
          </w:p>
        </w:tc>
        <w:tc>
          <w:tcPr>
            <w:tcW w:w="1961" w:type="dxa"/>
          </w:tcPr>
          <w:p w:rsidR="00135397" w:rsidP="00D3005E" w:rsidRDefault="00135397" w14:paraId="6432F575" w14:textId="6CC72456">
            <w:pPr>
              <w:jc w:val="center"/>
            </w:pPr>
            <w:r>
              <w:t>30</w:t>
            </w:r>
          </w:p>
        </w:tc>
        <w:tc>
          <w:tcPr>
            <w:tcW w:w="3142" w:type="dxa"/>
          </w:tcPr>
          <w:p w:rsidR="00135397" w:rsidP="00D3005E" w:rsidRDefault="00135397" w14:paraId="11FF77F4" w14:textId="6C540A70">
            <w:r>
              <w:t>Digital Technologies</w:t>
            </w:r>
          </w:p>
        </w:tc>
        <w:tc>
          <w:tcPr>
            <w:tcW w:w="2126" w:type="dxa"/>
          </w:tcPr>
          <w:p w:rsidR="00135397" w:rsidP="00D3005E" w:rsidRDefault="00135397" w14:paraId="10A97514" w14:textId="128040AF">
            <w:pPr>
              <w:jc w:val="center"/>
            </w:pPr>
            <w:r>
              <w:t>30</w:t>
            </w:r>
          </w:p>
        </w:tc>
      </w:tr>
    </w:tbl>
    <w:p w:rsidR="00F578ED" w:rsidP="00F578ED" w:rsidRDefault="00F578ED" w14:paraId="2FF493B6" w14:textId="1991CBC3">
      <w:pPr>
        <w:rPr>
          <w:sz w:val="6"/>
        </w:rPr>
      </w:pPr>
    </w:p>
    <w:p w:rsidR="00205922" w:rsidP="00F578ED" w:rsidRDefault="00205922" w14:paraId="0942BB47" w14:textId="6017588D">
      <w:pPr>
        <w:rPr>
          <w:sz w:val="6"/>
        </w:rPr>
      </w:pPr>
    </w:p>
    <w:p w:rsidRPr="00CF4682" w:rsidR="00205922" w:rsidP="00F578ED" w:rsidRDefault="00205922" w14:paraId="7AACF72E" w14:textId="77777777">
      <w:pPr>
        <w:rPr>
          <w:sz w:val="6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261"/>
        <w:gridCol w:w="1961"/>
        <w:gridCol w:w="3284"/>
        <w:gridCol w:w="1984"/>
      </w:tblGrid>
      <w:tr w:rsidR="00F578ED" w:rsidTr="00D3005E" w14:paraId="5151FDA9" w14:textId="77777777">
        <w:tc>
          <w:tcPr>
            <w:tcW w:w="10490" w:type="dxa"/>
            <w:gridSpan w:val="4"/>
            <w:shd w:val="clear" w:color="auto" w:fill="00B0F0"/>
          </w:tcPr>
          <w:p w:rsidRPr="009F0B13" w:rsidR="00F578ED" w:rsidP="00D3005E" w:rsidRDefault="00F578ED" w14:paraId="54D382E9" w14:textId="77777777">
            <w:pPr>
              <w:jc w:val="center"/>
              <w:rPr>
                <w:b/>
              </w:rPr>
            </w:pPr>
            <w:r>
              <w:rPr>
                <w:b/>
              </w:rPr>
              <w:t>Years 3-6</w:t>
            </w:r>
          </w:p>
        </w:tc>
      </w:tr>
      <w:tr w:rsidR="00F578ED" w:rsidTr="00D3005E" w14:paraId="6784A1CA" w14:textId="77777777">
        <w:tc>
          <w:tcPr>
            <w:tcW w:w="5222" w:type="dxa"/>
            <w:gridSpan w:val="2"/>
            <w:shd w:val="clear" w:color="auto" w:fill="00B0F0"/>
          </w:tcPr>
          <w:p w:rsidRPr="009F0B13" w:rsidR="00F578ED" w:rsidP="00D3005E" w:rsidRDefault="00F578ED" w14:paraId="517D0E24" w14:textId="77777777">
            <w:pPr>
              <w:jc w:val="center"/>
              <w:rPr>
                <w:b/>
              </w:rPr>
            </w:pPr>
            <w:r>
              <w:rPr>
                <w:b/>
              </w:rPr>
              <w:t>Year 3-4</w:t>
            </w:r>
          </w:p>
        </w:tc>
        <w:tc>
          <w:tcPr>
            <w:tcW w:w="5268" w:type="dxa"/>
            <w:gridSpan w:val="2"/>
            <w:shd w:val="clear" w:color="auto" w:fill="00B0F0"/>
          </w:tcPr>
          <w:p w:rsidRPr="009F0B13" w:rsidR="00F578ED" w:rsidP="00D3005E" w:rsidRDefault="00F578ED" w14:paraId="45945B70" w14:textId="77777777">
            <w:pPr>
              <w:jc w:val="center"/>
              <w:rPr>
                <w:b/>
              </w:rPr>
            </w:pPr>
            <w:r>
              <w:rPr>
                <w:b/>
              </w:rPr>
              <w:t>Years 5-6</w:t>
            </w:r>
          </w:p>
        </w:tc>
      </w:tr>
      <w:tr w:rsidR="00F578ED" w:rsidTr="00D3005E" w14:paraId="327290B5" w14:textId="77777777">
        <w:tc>
          <w:tcPr>
            <w:tcW w:w="3261" w:type="dxa"/>
            <w:shd w:val="clear" w:color="auto" w:fill="BFBFBF" w:themeFill="background1" w:themeFillShade="BF"/>
          </w:tcPr>
          <w:p w:rsidRPr="009F0B13" w:rsidR="00F578ED" w:rsidP="00D3005E" w:rsidRDefault="00F578ED" w14:paraId="663FB4DF" w14:textId="77777777">
            <w:pPr>
              <w:rPr>
                <w:b/>
              </w:rPr>
            </w:pPr>
            <w:r w:rsidRPr="009F0B13">
              <w:rPr>
                <w:b/>
              </w:rPr>
              <w:t>Domain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:rsidRPr="009F0B13" w:rsidR="00F578ED" w:rsidP="00D3005E" w:rsidRDefault="00F578ED" w14:paraId="350ABDD5" w14:textId="77777777">
            <w:pPr>
              <w:rPr>
                <w:b/>
              </w:rPr>
            </w:pPr>
            <w:r w:rsidRPr="009F0B13">
              <w:rPr>
                <w:b/>
              </w:rPr>
              <w:t>Minutes Per Week</w:t>
            </w:r>
          </w:p>
        </w:tc>
        <w:tc>
          <w:tcPr>
            <w:tcW w:w="3284" w:type="dxa"/>
            <w:shd w:val="clear" w:color="auto" w:fill="BFBFBF" w:themeFill="background1" w:themeFillShade="BF"/>
          </w:tcPr>
          <w:p w:rsidRPr="009F0B13" w:rsidR="00F578ED" w:rsidP="00D3005E" w:rsidRDefault="00F578ED" w14:paraId="782160A7" w14:textId="77777777">
            <w:pPr>
              <w:rPr>
                <w:b/>
              </w:rPr>
            </w:pPr>
            <w:r w:rsidRPr="009F0B13">
              <w:rPr>
                <w:b/>
              </w:rPr>
              <w:t>Domain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Pr="009F0B13" w:rsidR="00F578ED" w:rsidP="00D3005E" w:rsidRDefault="00F578ED" w14:paraId="3385E36D" w14:textId="77777777">
            <w:pPr>
              <w:rPr>
                <w:b/>
              </w:rPr>
            </w:pPr>
            <w:r w:rsidRPr="009F0B13">
              <w:rPr>
                <w:b/>
              </w:rPr>
              <w:t>Minutes Per Week</w:t>
            </w:r>
          </w:p>
        </w:tc>
      </w:tr>
      <w:tr w:rsidR="00F578ED" w:rsidTr="00D3005E" w14:paraId="3E48E9B7" w14:textId="77777777">
        <w:tc>
          <w:tcPr>
            <w:tcW w:w="3261" w:type="dxa"/>
          </w:tcPr>
          <w:p w:rsidR="00F578ED" w:rsidP="00D3005E" w:rsidRDefault="00F578ED" w14:paraId="70264DDC" w14:textId="77777777">
            <w:r>
              <w:t>English</w:t>
            </w:r>
          </w:p>
        </w:tc>
        <w:tc>
          <w:tcPr>
            <w:tcW w:w="1961" w:type="dxa"/>
          </w:tcPr>
          <w:p w:rsidR="00F578ED" w:rsidP="00D3005E" w:rsidRDefault="00716F9B" w14:paraId="0885F686" w14:textId="62F8CFA4">
            <w:pPr>
              <w:jc w:val="center"/>
            </w:pPr>
            <w:r>
              <w:t>705</w:t>
            </w:r>
          </w:p>
        </w:tc>
        <w:tc>
          <w:tcPr>
            <w:tcW w:w="3284" w:type="dxa"/>
          </w:tcPr>
          <w:p w:rsidR="00F578ED" w:rsidP="00D3005E" w:rsidRDefault="00F578ED" w14:paraId="164F2110" w14:textId="77777777">
            <w:r>
              <w:t>English</w:t>
            </w:r>
          </w:p>
        </w:tc>
        <w:tc>
          <w:tcPr>
            <w:tcW w:w="1984" w:type="dxa"/>
          </w:tcPr>
          <w:p w:rsidR="00F578ED" w:rsidP="00D3005E" w:rsidRDefault="00716F9B" w14:paraId="74B426FF" w14:textId="48D84D40">
            <w:pPr>
              <w:jc w:val="center"/>
            </w:pPr>
            <w:r>
              <w:t>675</w:t>
            </w:r>
          </w:p>
        </w:tc>
      </w:tr>
      <w:tr w:rsidR="00F578ED" w:rsidTr="00D3005E" w14:paraId="2DAB8F70" w14:textId="77777777">
        <w:tc>
          <w:tcPr>
            <w:tcW w:w="3261" w:type="dxa"/>
          </w:tcPr>
          <w:p w:rsidR="00F578ED" w:rsidP="00D3005E" w:rsidRDefault="00F578ED" w14:paraId="0E3AECAC" w14:textId="77777777">
            <w:r>
              <w:t>Mathematics</w:t>
            </w:r>
          </w:p>
        </w:tc>
        <w:tc>
          <w:tcPr>
            <w:tcW w:w="1961" w:type="dxa"/>
          </w:tcPr>
          <w:p w:rsidR="00F578ED" w:rsidP="00D3005E" w:rsidRDefault="00F578ED" w14:paraId="05963823" w14:textId="77777777">
            <w:pPr>
              <w:jc w:val="center"/>
            </w:pPr>
            <w:r>
              <w:t>300</w:t>
            </w:r>
          </w:p>
        </w:tc>
        <w:tc>
          <w:tcPr>
            <w:tcW w:w="3284" w:type="dxa"/>
          </w:tcPr>
          <w:p w:rsidR="00F578ED" w:rsidP="00D3005E" w:rsidRDefault="00F578ED" w14:paraId="6EF44C49" w14:textId="77777777">
            <w:r>
              <w:t>Mathematics</w:t>
            </w:r>
          </w:p>
        </w:tc>
        <w:tc>
          <w:tcPr>
            <w:tcW w:w="1984" w:type="dxa"/>
          </w:tcPr>
          <w:p w:rsidR="00F578ED" w:rsidP="00D3005E" w:rsidRDefault="00F578ED" w14:paraId="2D1F87DA" w14:textId="77777777">
            <w:pPr>
              <w:jc w:val="center"/>
            </w:pPr>
            <w:r>
              <w:t>300</w:t>
            </w:r>
          </w:p>
        </w:tc>
      </w:tr>
      <w:tr w:rsidR="00F578ED" w:rsidTr="00D3005E" w14:paraId="27785DC3" w14:textId="77777777">
        <w:tc>
          <w:tcPr>
            <w:tcW w:w="3261" w:type="dxa"/>
          </w:tcPr>
          <w:p w:rsidR="00F578ED" w:rsidP="00D3005E" w:rsidRDefault="00F578ED" w14:paraId="29AA7BFA" w14:textId="77777777">
            <w:r>
              <w:t>Integrated Inquiry Studies</w:t>
            </w:r>
          </w:p>
          <w:p w:rsidR="00F578ED" w:rsidP="00D3005E" w:rsidRDefault="00F578ED" w14:paraId="0C62F9D2" w14:textId="77777777">
            <w:r>
              <w:t xml:space="preserve">               including </w:t>
            </w:r>
            <w:r w:rsidRPr="00CF4682">
              <w:rPr>
                <w:i/>
              </w:rPr>
              <w:t>The Humanities</w:t>
            </w:r>
          </w:p>
        </w:tc>
        <w:tc>
          <w:tcPr>
            <w:tcW w:w="1961" w:type="dxa"/>
          </w:tcPr>
          <w:p w:rsidR="00F578ED" w:rsidP="00D3005E" w:rsidRDefault="00F578ED" w14:paraId="4C169227" w14:textId="77777777">
            <w:pPr>
              <w:jc w:val="center"/>
            </w:pPr>
            <w:r>
              <w:t>90</w:t>
            </w:r>
          </w:p>
        </w:tc>
        <w:tc>
          <w:tcPr>
            <w:tcW w:w="3284" w:type="dxa"/>
          </w:tcPr>
          <w:p w:rsidR="00F578ED" w:rsidP="00D3005E" w:rsidRDefault="00F578ED" w14:paraId="18F1CA19" w14:textId="77777777">
            <w:r>
              <w:t>Integrated Inquiry Studies</w:t>
            </w:r>
          </w:p>
          <w:p w:rsidR="00F578ED" w:rsidP="00D3005E" w:rsidRDefault="00F578ED" w14:paraId="0EE2D217" w14:textId="77777777">
            <w:r>
              <w:t xml:space="preserve">               including </w:t>
            </w:r>
            <w:r w:rsidRPr="00CF4682">
              <w:rPr>
                <w:i/>
              </w:rPr>
              <w:t>The Humanities</w:t>
            </w:r>
          </w:p>
        </w:tc>
        <w:tc>
          <w:tcPr>
            <w:tcW w:w="1984" w:type="dxa"/>
          </w:tcPr>
          <w:p w:rsidR="00F578ED" w:rsidP="00D3005E" w:rsidRDefault="00F578ED" w14:paraId="2EA267E4" w14:textId="77777777">
            <w:pPr>
              <w:jc w:val="center"/>
            </w:pPr>
            <w:r>
              <w:t>90</w:t>
            </w:r>
          </w:p>
        </w:tc>
      </w:tr>
      <w:tr w:rsidR="00F578ED" w:rsidTr="00D3005E" w14:paraId="4BB510A9" w14:textId="77777777">
        <w:tc>
          <w:tcPr>
            <w:tcW w:w="3261" w:type="dxa"/>
          </w:tcPr>
          <w:p w:rsidR="00F578ED" w:rsidP="00D3005E" w:rsidRDefault="00F578ED" w14:paraId="2F0EE4EC" w14:textId="77777777">
            <w:r>
              <w:t>The Arts (Music, Visual Art)</w:t>
            </w:r>
          </w:p>
        </w:tc>
        <w:tc>
          <w:tcPr>
            <w:tcW w:w="1961" w:type="dxa"/>
          </w:tcPr>
          <w:p w:rsidR="00F578ED" w:rsidP="00D3005E" w:rsidRDefault="00205922" w14:paraId="6970FB03" w14:textId="2ADB5B59">
            <w:pPr>
              <w:jc w:val="center"/>
            </w:pPr>
            <w:r>
              <w:t>120</w:t>
            </w:r>
          </w:p>
        </w:tc>
        <w:tc>
          <w:tcPr>
            <w:tcW w:w="3284" w:type="dxa"/>
          </w:tcPr>
          <w:p w:rsidR="00F578ED" w:rsidP="00D3005E" w:rsidRDefault="00F578ED" w14:paraId="2E5A94A8" w14:textId="77777777">
            <w:r>
              <w:t>The Arts (Music, Visual Art)</w:t>
            </w:r>
          </w:p>
        </w:tc>
        <w:tc>
          <w:tcPr>
            <w:tcW w:w="1984" w:type="dxa"/>
          </w:tcPr>
          <w:p w:rsidR="00F578ED" w:rsidP="00D3005E" w:rsidRDefault="00205922" w14:paraId="6405C074" w14:textId="7D32AC34">
            <w:pPr>
              <w:jc w:val="center"/>
            </w:pPr>
            <w:r>
              <w:t>150</w:t>
            </w:r>
          </w:p>
        </w:tc>
      </w:tr>
      <w:tr w:rsidR="00F578ED" w:rsidTr="00D3005E" w14:paraId="59161C71" w14:textId="77777777">
        <w:tc>
          <w:tcPr>
            <w:tcW w:w="3261" w:type="dxa"/>
          </w:tcPr>
          <w:p w:rsidR="00F578ED" w:rsidP="00D3005E" w:rsidRDefault="00205922" w14:paraId="7C4CFA28" w14:textId="09C7D559">
            <w:r>
              <w:t>Languages (Italian)</w:t>
            </w:r>
          </w:p>
        </w:tc>
        <w:tc>
          <w:tcPr>
            <w:tcW w:w="1961" w:type="dxa"/>
          </w:tcPr>
          <w:p w:rsidR="00F578ED" w:rsidP="00D3005E" w:rsidRDefault="00F578ED" w14:paraId="3025DDC6" w14:textId="77777777">
            <w:pPr>
              <w:jc w:val="center"/>
            </w:pPr>
            <w:r>
              <w:t>45</w:t>
            </w:r>
          </w:p>
        </w:tc>
        <w:tc>
          <w:tcPr>
            <w:tcW w:w="3284" w:type="dxa"/>
          </w:tcPr>
          <w:p w:rsidR="00F578ED" w:rsidP="00D3005E" w:rsidRDefault="00F578ED" w14:paraId="37B9B78B" w14:textId="3DEF4164">
            <w:r>
              <w:t xml:space="preserve">Languages </w:t>
            </w:r>
            <w:r w:rsidR="00205922">
              <w:t>(Italian)</w:t>
            </w:r>
          </w:p>
        </w:tc>
        <w:tc>
          <w:tcPr>
            <w:tcW w:w="1984" w:type="dxa"/>
          </w:tcPr>
          <w:p w:rsidR="00F578ED" w:rsidP="00D3005E" w:rsidRDefault="00F578ED" w14:paraId="6AC31554" w14:textId="77777777">
            <w:pPr>
              <w:jc w:val="center"/>
            </w:pPr>
            <w:r>
              <w:t>45</w:t>
            </w:r>
          </w:p>
        </w:tc>
      </w:tr>
      <w:tr w:rsidR="00F578ED" w:rsidTr="00D3005E" w14:paraId="4D818867" w14:textId="77777777">
        <w:tc>
          <w:tcPr>
            <w:tcW w:w="3261" w:type="dxa"/>
          </w:tcPr>
          <w:p w:rsidR="00F578ED" w:rsidP="00D3005E" w:rsidRDefault="00A8210D" w14:paraId="404E0E97" w14:textId="7372FDD5">
            <w:r>
              <w:t>Health,</w:t>
            </w:r>
            <w:r w:rsidR="00F578ED">
              <w:t xml:space="preserve"> Physical Education</w:t>
            </w:r>
            <w:r>
              <w:t xml:space="preserve"> and Well being</w:t>
            </w:r>
          </w:p>
        </w:tc>
        <w:tc>
          <w:tcPr>
            <w:tcW w:w="1961" w:type="dxa"/>
          </w:tcPr>
          <w:p w:rsidR="00F578ED" w:rsidP="00D3005E" w:rsidRDefault="00205922" w14:paraId="0D929425" w14:textId="655F717E">
            <w:pPr>
              <w:jc w:val="center"/>
            </w:pPr>
            <w:r>
              <w:t>180</w:t>
            </w:r>
          </w:p>
        </w:tc>
        <w:tc>
          <w:tcPr>
            <w:tcW w:w="3284" w:type="dxa"/>
          </w:tcPr>
          <w:p w:rsidR="00F578ED" w:rsidP="00D3005E" w:rsidRDefault="00A8210D" w14:paraId="4B4A0863" w14:textId="585D9000">
            <w:r>
              <w:t xml:space="preserve">Health, </w:t>
            </w:r>
            <w:r w:rsidR="00F578ED">
              <w:t>Physical Education</w:t>
            </w:r>
            <w:r>
              <w:t xml:space="preserve"> and Well being</w:t>
            </w:r>
          </w:p>
        </w:tc>
        <w:tc>
          <w:tcPr>
            <w:tcW w:w="1984" w:type="dxa"/>
          </w:tcPr>
          <w:p w:rsidR="00F578ED" w:rsidP="00D3005E" w:rsidRDefault="00205922" w14:paraId="72309999" w14:textId="1BA7E8EB">
            <w:pPr>
              <w:jc w:val="center"/>
            </w:pPr>
            <w:r>
              <w:t>180</w:t>
            </w:r>
          </w:p>
        </w:tc>
      </w:tr>
      <w:tr w:rsidR="00F578ED" w:rsidTr="00D3005E" w14:paraId="47AFC197" w14:textId="77777777">
        <w:tc>
          <w:tcPr>
            <w:tcW w:w="3261" w:type="dxa"/>
          </w:tcPr>
          <w:p w:rsidR="00F578ED" w:rsidP="00D3005E" w:rsidRDefault="00F578ED" w14:paraId="7D5AC123" w14:textId="77777777">
            <w:r>
              <w:t>Science</w:t>
            </w:r>
          </w:p>
        </w:tc>
        <w:tc>
          <w:tcPr>
            <w:tcW w:w="1961" w:type="dxa"/>
          </w:tcPr>
          <w:p w:rsidR="00F578ED" w:rsidP="00D3005E" w:rsidRDefault="00205922" w14:paraId="1DB0673C" w14:textId="4BE3B629">
            <w:pPr>
              <w:jc w:val="center"/>
            </w:pPr>
            <w:r>
              <w:t>60</w:t>
            </w:r>
          </w:p>
        </w:tc>
        <w:tc>
          <w:tcPr>
            <w:tcW w:w="3284" w:type="dxa"/>
          </w:tcPr>
          <w:p w:rsidR="00F578ED" w:rsidP="00D3005E" w:rsidRDefault="00F578ED" w14:paraId="137524AB" w14:textId="77777777">
            <w:r>
              <w:t>Science</w:t>
            </w:r>
          </w:p>
        </w:tc>
        <w:tc>
          <w:tcPr>
            <w:tcW w:w="1984" w:type="dxa"/>
          </w:tcPr>
          <w:p w:rsidR="00F578ED" w:rsidP="00D3005E" w:rsidRDefault="00205922" w14:paraId="100C6C9F" w14:textId="5E449123">
            <w:pPr>
              <w:jc w:val="center"/>
            </w:pPr>
            <w:r>
              <w:t>60</w:t>
            </w:r>
          </w:p>
        </w:tc>
      </w:tr>
    </w:tbl>
    <w:p w:rsidR="00F578ED" w:rsidP="00073EE8" w:rsidRDefault="00F578ED" w14:paraId="5747979A" w14:textId="777777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Hyperlink"/>
          <w:rFonts w:cstheme="minorHAnsi"/>
        </w:rPr>
      </w:pPr>
    </w:p>
    <w:p w:rsidRPr="00073EE8" w:rsidR="00073EE8" w:rsidP="00073EE8" w:rsidRDefault="00360CA8" w14:paraId="3A718A8A" w14:textId="06FDF2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563C2"/>
        </w:rPr>
      </w:pPr>
      <w:hyperlink w:history="1" r:id="rId13">
        <w:r w:rsidRPr="00073EE8" w:rsidR="00073EE8">
          <w:rPr>
            <w:rStyle w:val="Hyperlink"/>
            <w:rFonts w:cstheme="minorHAnsi"/>
          </w:rPr>
          <w:t>https://www.vcaa.vic.edu.au/Documents/viccurric/RevisedF10CurriculumPlanningReportingGuidelines.pdf</w:t>
        </w:r>
      </w:hyperlink>
      <w:r w:rsidRPr="00073EE8" w:rsidR="00073EE8">
        <w:rPr>
          <w:rFonts w:cstheme="minorHAnsi"/>
          <w:color w:val="0563C2"/>
        </w:rPr>
        <w:t xml:space="preserve"> </w:t>
      </w:r>
      <w:r w:rsidRPr="00073EE8" w:rsidR="00073EE8">
        <w:rPr>
          <w:rFonts w:cstheme="minorHAnsi"/>
          <w:color w:val="000000"/>
        </w:rPr>
        <w:t>is the DET reference document used</w:t>
      </w:r>
    </w:p>
    <w:p w:rsidR="00656A86" w:rsidP="00B8354C" w:rsidRDefault="00656A86" w14:paraId="6A9284C5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Pr="002D21A8" w:rsidR="00656A86" w:rsidP="00B8354C" w:rsidRDefault="00656A86" w14:paraId="5AD2D1BC" w14:textId="0E6C44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2D21A8">
        <w:rPr>
          <w:rFonts w:cstheme="minorHAnsi"/>
          <w:b/>
          <w:color w:val="000000"/>
        </w:rPr>
        <w:t>Homework</w:t>
      </w:r>
    </w:p>
    <w:p w:rsidRPr="00656A86" w:rsidR="00656A86" w:rsidP="00B8354C" w:rsidRDefault="00656A86" w14:paraId="7DF92D4C" w14:textId="6AC1C25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56A86">
        <w:rPr>
          <w:rFonts w:cstheme="minorHAnsi"/>
          <w:color w:val="000000"/>
        </w:rPr>
        <w:t>The school has a polic</w:t>
      </w:r>
      <w:r w:rsidR="00DA23E5">
        <w:rPr>
          <w:rFonts w:cstheme="minorHAnsi"/>
          <w:color w:val="000000"/>
        </w:rPr>
        <w:t>y that homework is set to comple</w:t>
      </w:r>
      <w:r w:rsidRPr="00656A86">
        <w:rPr>
          <w:rFonts w:cstheme="minorHAnsi"/>
          <w:color w:val="000000"/>
        </w:rPr>
        <w:t>ment classroom learning, to foster good study</w:t>
      </w:r>
      <w:r>
        <w:rPr>
          <w:rFonts w:cstheme="minorHAnsi"/>
          <w:color w:val="000000"/>
        </w:rPr>
        <w:t xml:space="preserve"> </w:t>
      </w:r>
      <w:r w:rsidRPr="00656A86">
        <w:rPr>
          <w:rFonts w:cstheme="minorHAnsi"/>
          <w:color w:val="000000"/>
        </w:rPr>
        <w:t>habits and provide students an opportunity to take accountability for their own learning.</w:t>
      </w:r>
      <w:r w:rsidRPr="00656A86">
        <w:rPr>
          <w:rFonts w:eastAsia="CIDFont+F3" w:cstheme="minorHAnsi"/>
          <w:color w:val="000000"/>
        </w:rPr>
        <w:t xml:space="preserve"> </w:t>
      </w:r>
    </w:p>
    <w:p w:rsidR="00656A86" w:rsidP="00B8354C" w:rsidRDefault="00656A86" w14:paraId="05211913" w14:textId="3D4C7459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56A86">
        <w:rPr>
          <w:rFonts w:cstheme="minorHAnsi"/>
          <w:color w:val="000000"/>
        </w:rPr>
        <w:t>Homework guidance is issued by the classroom teacher at the start of each year outlining the nature</w:t>
      </w:r>
      <w:r>
        <w:rPr>
          <w:rFonts w:cstheme="minorHAnsi"/>
          <w:color w:val="000000"/>
        </w:rPr>
        <w:t xml:space="preserve"> </w:t>
      </w:r>
      <w:r w:rsidRPr="00656A86">
        <w:rPr>
          <w:rFonts w:cstheme="minorHAnsi"/>
          <w:color w:val="000000"/>
        </w:rPr>
        <w:t>and extent of homework to be completed which will not exceed 30 minutes up</w:t>
      </w:r>
      <w:r w:rsidR="002D21A8">
        <w:rPr>
          <w:rFonts w:cstheme="minorHAnsi"/>
          <w:color w:val="000000"/>
        </w:rPr>
        <w:t xml:space="preserve"> to G</w:t>
      </w:r>
      <w:r w:rsidRPr="00656A86">
        <w:rPr>
          <w:rFonts w:cstheme="minorHAnsi"/>
          <w:color w:val="000000"/>
        </w:rPr>
        <w:t>rade 4 and 45</w:t>
      </w:r>
      <w:r w:rsidR="002D21A8">
        <w:rPr>
          <w:rFonts w:cstheme="minorHAnsi"/>
          <w:color w:val="000000"/>
        </w:rPr>
        <w:t xml:space="preserve"> minutes for G</w:t>
      </w:r>
      <w:r w:rsidRPr="00656A86">
        <w:rPr>
          <w:rFonts w:cstheme="minorHAnsi"/>
          <w:color w:val="000000"/>
        </w:rPr>
        <w:t>rade 5/6</w:t>
      </w:r>
      <w:r w:rsidR="00DA23E5">
        <w:rPr>
          <w:rFonts w:cstheme="minorHAnsi"/>
          <w:color w:val="000000"/>
        </w:rPr>
        <w:t xml:space="preserve"> per week</w:t>
      </w:r>
      <w:r w:rsidRPr="00656A86">
        <w:rPr>
          <w:rFonts w:cstheme="minorHAnsi"/>
          <w:color w:val="000000"/>
        </w:rPr>
        <w:t>.</w:t>
      </w:r>
    </w:p>
    <w:p w:rsidRPr="00D727BB" w:rsidR="002D21A8" w:rsidP="00B8354C" w:rsidRDefault="00656A86" w14:paraId="696746DD" w14:textId="53DAAE3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56A86">
        <w:rPr>
          <w:rFonts w:cstheme="minorHAnsi"/>
          <w:color w:val="000000"/>
        </w:rPr>
        <w:t>Homework is to be set by classroom Teachers appropriate to each student’s skill level and classroom</w:t>
      </w:r>
      <w:r>
        <w:rPr>
          <w:rFonts w:cstheme="minorHAnsi"/>
          <w:color w:val="000000"/>
        </w:rPr>
        <w:t xml:space="preserve"> </w:t>
      </w:r>
      <w:r w:rsidRPr="00656A86">
        <w:rPr>
          <w:rFonts w:cstheme="minorHAnsi"/>
          <w:color w:val="000000"/>
        </w:rPr>
        <w:t>activities</w:t>
      </w:r>
      <w:r w:rsidR="00D449BE">
        <w:rPr>
          <w:rFonts w:cstheme="minorHAnsi"/>
          <w:color w:val="000000"/>
        </w:rPr>
        <w:t>.</w:t>
      </w:r>
    </w:p>
    <w:p w:rsidR="002D21A8" w:rsidP="00B8354C" w:rsidRDefault="002D21A8" w14:paraId="08D7259C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Pr="002D21A8" w:rsidR="00656A86" w:rsidP="00B8354C" w:rsidRDefault="00656A86" w14:paraId="4DADB4DD" w14:textId="243D2F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2D21A8">
        <w:rPr>
          <w:rFonts w:cstheme="minorHAnsi"/>
          <w:b/>
          <w:color w:val="000000"/>
        </w:rPr>
        <w:t xml:space="preserve">Reporting </w:t>
      </w:r>
    </w:p>
    <w:p w:rsidR="00656A86" w:rsidP="00B8354C" w:rsidRDefault="00656A86" w14:paraId="474B85BD" w14:textId="7777777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56A86">
        <w:rPr>
          <w:rFonts w:cstheme="minorHAnsi"/>
          <w:color w:val="000000"/>
        </w:rPr>
        <w:t>To accurately and comprehensively report student performance in a timely manner.</w:t>
      </w:r>
    </w:p>
    <w:p w:rsidR="009B065A" w:rsidP="00B8354C" w:rsidRDefault="00656A86" w14:paraId="355FF9A4" w14:textId="7777777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56A86">
        <w:rPr>
          <w:rFonts w:cstheme="minorHAnsi"/>
          <w:color w:val="000000"/>
        </w:rPr>
        <w:t>Student achievement is measured and reported to students, parents, Department of Education and</w:t>
      </w:r>
      <w:r>
        <w:rPr>
          <w:rFonts w:cstheme="minorHAnsi"/>
          <w:color w:val="000000"/>
        </w:rPr>
        <w:t xml:space="preserve"> </w:t>
      </w:r>
      <w:r w:rsidRPr="00656A86">
        <w:rPr>
          <w:rFonts w:cstheme="minorHAnsi"/>
          <w:color w:val="000000"/>
        </w:rPr>
        <w:t>the wider community against the Victorian Curriculum, the Framework and ABLES achievement</w:t>
      </w:r>
      <w:r w:rsidR="009B065A">
        <w:rPr>
          <w:rFonts w:cstheme="minorHAnsi"/>
          <w:color w:val="000000"/>
        </w:rPr>
        <w:t xml:space="preserve"> </w:t>
      </w:r>
      <w:r w:rsidRPr="009B065A">
        <w:rPr>
          <w:rFonts w:cstheme="minorHAnsi"/>
          <w:color w:val="000000"/>
        </w:rPr>
        <w:t>standards, in each learning area.</w:t>
      </w:r>
    </w:p>
    <w:p w:rsidR="009B065A" w:rsidP="00B8354C" w:rsidRDefault="00656A86" w14:paraId="0D7076CE" w14:textId="7777777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B065A">
        <w:rPr>
          <w:rFonts w:cstheme="minorHAnsi"/>
          <w:color w:val="000000"/>
        </w:rPr>
        <w:t>All staff participate in the collection of student achievement data, and staff have input into decisions</w:t>
      </w:r>
      <w:r w:rsidR="009B065A">
        <w:rPr>
          <w:rFonts w:cstheme="minorHAnsi"/>
          <w:color w:val="000000"/>
        </w:rPr>
        <w:t xml:space="preserve"> </w:t>
      </w:r>
      <w:r w:rsidRPr="009B065A">
        <w:rPr>
          <w:rFonts w:cstheme="minorHAnsi"/>
          <w:color w:val="000000"/>
        </w:rPr>
        <w:t>resulting from interpretations of student achievement data.</w:t>
      </w:r>
    </w:p>
    <w:p w:rsidRPr="009B065A" w:rsidR="009B065A" w:rsidP="00B8354C" w:rsidRDefault="00656A86" w14:paraId="02482E6C" w14:textId="7777777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B065A">
        <w:rPr>
          <w:rFonts w:cstheme="minorHAnsi"/>
          <w:color w:val="000000"/>
        </w:rPr>
        <w:t>We participate in NAPLAN to gain information for staff, parents and students on students’ progress in</w:t>
      </w:r>
      <w:r w:rsidR="009B065A">
        <w:rPr>
          <w:rFonts w:cstheme="minorHAnsi"/>
          <w:color w:val="000000"/>
        </w:rPr>
        <w:t xml:space="preserve"> </w:t>
      </w:r>
      <w:r w:rsidRPr="009B065A">
        <w:rPr>
          <w:rFonts w:cstheme="minorHAnsi"/>
          <w:color w:val="000000"/>
        </w:rPr>
        <w:t>relation to the Victorian Curriculum.</w:t>
      </w:r>
      <w:r w:rsidRPr="009B065A">
        <w:rPr>
          <w:rFonts w:eastAsia="CIDFont+F3" w:cstheme="minorHAnsi"/>
          <w:color w:val="000000"/>
        </w:rPr>
        <w:t xml:space="preserve"> </w:t>
      </w:r>
    </w:p>
    <w:p w:rsidR="009B065A" w:rsidP="00B8354C" w:rsidRDefault="00656A86" w14:paraId="645348BD" w14:textId="7777777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B065A">
        <w:rPr>
          <w:rFonts w:cstheme="minorHAnsi"/>
          <w:color w:val="000000"/>
        </w:rPr>
        <w:t>Each year parents are provided with at least two written reports on student achievement, indicating</w:t>
      </w:r>
      <w:r w:rsidR="009B065A">
        <w:rPr>
          <w:rFonts w:cstheme="minorHAnsi"/>
          <w:color w:val="000000"/>
        </w:rPr>
        <w:t xml:space="preserve"> </w:t>
      </w:r>
      <w:r w:rsidRPr="009B065A">
        <w:rPr>
          <w:rFonts w:cstheme="minorHAnsi"/>
          <w:color w:val="000000"/>
        </w:rPr>
        <w:t>progress in all key learning areas.</w:t>
      </w:r>
    </w:p>
    <w:p w:rsidRPr="009B065A" w:rsidR="00656A86" w:rsidP="00B8354C" w:rsidRDefault="00656A86" w14:paraId="2F289DA1" w14:textId="4D10B07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B065A">
        <w:rPr>
          <w:rFonts w:cstheme="minorHAnsi"/>
          <w:color w:val="000000"/>
        </w:rPr>
        <w:t>Formal opportunities for parent/teacher interactions are provided twice per year – the first in term one</w:t>
      </w:r>
      <w:r w:rsidR="009B065A">
        <w:rPr>
          <w:rFonts w:cstheme="minorHAnsi"/>
          <w:color w:val="000000"/>
        </w:rPr>
        <w:t xml:space="preserve"> </w:t>
      </w:r>
      <w:r w:rsidR="00D727BB">
        <w:rPr>
          <w:rFonts w:cstheme="minorHAnsi"/>
          <w:color w:val="000000"/>
        </w:rPr>
        <w:t xml:space="preserve">and the second is flexible. </w:t>
      </w:r>
    </w:p>
    <w:p w:rsidR="009B065A" w:rsidP="00B8354C" w:rsidRDefault="009B065A" w14:paraId="6246108D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563C2"/>
        </w:rPr>
      </w:pPr>
    </w:p>
    <w:p w:rsidR="009B065A" w:rsidP="00B8354C" w:rsidRDefault="009B065A" w14:paraId="2E54F9F0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9B065A" w:rsidP="00B8354C" w:rsidRDefault="009B065A" w14:paraId="0D9A5C71" w14:textId="77777777">
      <w:pPr>
        <w:jc w:val="both"/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</w:pPr>
      <w:r w:rsidRPr="00FF1795"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  <w:t>Review Cycle</w:t>
      </w:r>
    </w:p>
    <w:p w:rsidRPr="00926E0D" w:rsidR="00626AB7" w:rsidP="43568C33" w:rsidRDefault="00656A86" w14:paraId="3D60815F" w14:textId="52064F9D">
      <w:pPr>
        <w:jc w:val="both"/>
        <w:rPr>
          <w:rFonts w:cs="Calibri" w:cstheme="minorAscii"/>
          <w:color w:val="000000" w:themeColor="text1" w:themeTint="FF" w:themeShade="FF"/>
        </w:rPr>
      </w:pPr>
      <w:r w:rsidRPr="43568C33" w:rsidR="00656A86">
        <w:rPr>
          <w:rFonts w:cs="Calibri" w:cstheme="minorAscii"/>
          <w:color w:val="000000" w:themeColor="text1" w:themeTint="FF" w:themeShade="FF"/>
        </w:rPr>
        <w:t xml:space="preserve">This policy was last </w:t>
      </w:r>
      <w:r w:rsidRPr="43568C33" w:rsidR="009B065A">
        <w:rPr>
          <w:rFonts w:cs="Calibri" w:cstheme="minorAscii"/>
          <w:color w:val="000000" w:themeColor="text1" w:themeTint="FF" w:themeShade="FF"/>
        </w:rPr>
        <w:t xml:space="preserve">ratified </w:t>
      </w:r>
      <w:r w:rsidRPr="43568C33" w:rsidR="00926E0D">
        <w:rPr>
          <w:rFonts w:cs="Calibri" w:cstheme="minorAscii"/>
          <w:color w:val="000000" w:themeColor="text1" w:themeTint="FF" w:themeShade="FF"/>
        </w:rPr>
        <w:t xml:space="preserve">by School Council </w:t>
      </w:r>
      <w:r w:rsidRPr="43568C33" w:rsidR="69692457">
        <w:rPr>
          <w:rFonts w:cs="Calibri" w:cstheme="minorAscii"/>
          <w:color w:val="000000" w:themeColor="text1" w:themeTint="FF" w:themeShade="FF"/>
        </w:rPr>
        <w:t>March 2021</w:t>
      </w:r>
    </w:p>
    <w:sectPr w:rsidRPr="00926E0D" w:rsidR="00626AB7" w:rsidSect="00D727BB">
      <w:pgSz w:w="11906" w:h="16838" w:orient="portrait"/>
      <w:pgMar w:top="709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CA8" w:rsidP="002A74A3" w:rsidRDefault="00360CA8" w14:paraId="119FAE82" w14:textId="77777777">
      <w:pPr>
        <w:spacing w:after="0" w:line="240" w:lineRule="auto"/>
      </w:pPr>
      <w:r>
        <w:separator/>
      </w:r>
    </w:p>
  </w:endnote>
  <w:endnote w:type="continuationSeparator" w:id="0">
    <w:p w:rsidR="00360CA8" w:rsidP="002A74A3" w:rsidRDefault="00360CA8" w14:paraId="4BFD36F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3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CA8" w:rsidP="002A74A3" w:rsidRDefault="00360CA8" w14:paraId="42A2396D" w14:textId="77777777">
      <w:pPr>
        <w:spacing w:after="0" w:line="240" w:lineRule="auto"/>
      </w:pPr>
      <w:r>
        <w:separator/>
      </w:r>
    </w:p>
  </w:footnote>
  <w:footnote w:type="continuationSeparator" w:id="0">
    <w:p w:rsidR="00360CA8" w:rsidP="002A74A3" w:rsidRDefault="00360CA8" w14:paraId="643144D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6F3A"/>
    <w:multiLevelType w:val="hybridMultilevel"/>
    <w:tmpl w:val="AA20201A"/>
    <w:lvl w:ilvl="0" w:tplc="FEF8003E">
      <w:numFmt w:val="bullet"/>
      <w:lvlText w:val="•"/>
      <w:lvlJc w:val="left"/>
      <w:pPr>
        <w:ind w:left="405" w:hanging="360"/>
      </w:pPr>
      <w:rPr>
        <w:rFonts w:hint="default" w:ascii="Calibri" w:hAnsi="Calibri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5858D6"/>
    <w:multiLevelType w:val="hybridMultilevel"/>
    <w:tmpl w:val="C31A602C"/>
    <w:lvl w:ilvl="0" w:tplc="FEF8003E">
      <w:numFmt w:val="bullet"/>
      <w:lvlText w:val="•"/>
      <w:lvlJc w:val="left"/>
      <w:pPr>
        <w:ind w:left="405" w:hanging="360"/>
      </w:pPr>
      <w:rPr>
        <w:rFonts w:hint="default" w:ascii="Calibri" w:hAnsi="Calibri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227AD1"/>
    <w:multiLevelType w:val="hybridMultilevel"/>
    <w:tmpl w:val="2422B3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51B79"/>
    <w:multiLevelType w:val="hybridMultilevel"/>
    <w:tmpl w:val="6F7C7EB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F83AAA"/>
    <w:multiLevelType w:val="hybridMultilevel"/>
    <w:tmpl w:val="7C1820A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55551A"/>
    <w:multiLevelType w:val="hybridMultilevel"/>
    <w:tmpl w:val="66D4515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005724"/>
    <w:multiLevelType w:val="hybridMultilevel"/>
    <w:tmpl w:val="A43872A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C7C0189"/>
    <w:multiLevelType w:val="hybridMultilevel"/>
    <w:tmpl w:val="2682A97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DA44143"/>
    <w:multiLevelType w:val="hybridMultilevel"/>
    <w:tmpl w:val="EF728A98"/>
    <w:lvl w:ilvl="0" w:tplc="FEF8003E">
      <w:numFmt w:val="bullet"/>
      <w:lvlText w:val="•"/>
      <w:lvlJc w:val="left"/>
      <w:pPr>
        <w:ind w:left="405" w:hanging="360"/>
      </w:pPr>
      <w:rPr>
        <w:rFonts w:hint="default" w:ascii="Calibri" w:hAnsi="Calibri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27B74FC"/>
    <w:multiLevelType w:val="hybridMultilevel"/>
    <w:tmpl w:val="678A94A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47B4CE7"/>
    <w:multiLevelType w:val="hybridMultilevel"/>
    <w:tmpl w:val="119A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2AB76BFC"/>
    <w:multiLevelType w:val="hybridMultilevel"/>
    <w:tmpl w:val="97760A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F18AC"/>
    <w:multiLevelType w:val="hybridMultilevel"/>
    <w:tmpl w:val="569648E2"/>
    <w:lvl w:ilvl="0" w:tplc="3380008C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C741F0A"/>
    <w:multiLevelType w:val="hybridMultilevel"/>
    <w:tmpl w:val="D852816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D543919"/>
    <w:multiLevelType w:val="hybridMultilevel"/>
    <w:tmpl w:val="B944D5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E424BB1"/>
    <w:multiLevelType w:val="hybridMultilevel"/>
    <w:tmpl w:val="B07281C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0A73691"/>
    <w:multiLevelType w:val="hybridMultilevel"/>
    <w:tmpl w:val="CC3831E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28C68DF"/>
    <w:multiLevelType w:val="multilevel"/>
    <w:tmpl w:val="E1E6CB0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58D1EDE"/>
    <w:multiLevelType w:val="hybridMultilevel"/>
    <w:tmpl w:val="B630C6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7D52DEA"/>
    <w:multiLevelType w:val="hybridMultilevel"/>
    <w:tmpl w:val="38767190"/>
    <w:lvl w:ilvl="0" w:tplc="0C090001">
      <w:start w:val="1"/>
      <w:numFmt w:val="bullet"/>
      <w:lvlText w:val=""/>
      <w:lvlJc w:val="left"/>
      <w:pPr>
        <w:ind w:left="772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12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32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52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72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92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12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32" w:hanging="360"/>
      </w:pPr>
      <w:rPr>
        <w:rFonts w:hint="default" w:ascii="Wingdings" w:hAnsi="Wingdings"/>
      </w:rPr>
    </w:lvl>
  </w:abstractNum>
  <w:abstractNum w:abstractNumId="20" w15:restartNumberingAfterBreak="0">
    <w:nsid w:val="3A977550"/>
    <w:multiLevelType w:val="hybridMultilevel"/>
    <w:tmpl w:val="A7DA090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03612A9"/>
    <w:multiLevelType w:val="hybridMultilevel"/>
    <w:tmpl w:val="1160EBF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16D3B9A"/>
    <w:multiLevelType w:val="hybridMultilevel"/>
    <w:tmpl w:val="71CC1216"/>
    <w:lvl w:ilvl="0" w:tplc="FEF8003E">
      <w:numFmt w:val="bullet"/>
      <w:lvlText w:val="•"/>
      <w:lvlJc w:val="left"/>
      <w:pPr>
        <w:ind w:left="405" w:hanging="360"/>
      </w:pPr>
      <w:rPr>
        <w:rFonts w:hint="default" w:ascii="Calibri" w:hAnsi="Calibri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24C1856"/>
    <w:multiLevelType w:val="hybridMultilevel"/>
    <w:tmpl w:val="9C40C27C"/>
    <w:lvl w:ilvl="0" w:tplc="6A92CF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B0297"/>
    <w:multiLevelType w:val="hybridMultilevel"/>
    <w:tmpl w:val="A77CBE66"/>
    <w:lvl w:ilvl="0" w:tplc="FEF8003E">
      <w:numFmt w:val="bullet"/>
      <w:lvlText w:val="•"/>
      <w:lvlJc w:val="left"/>
      <w:pPr>
        <w:ind w:left="405" w:hanging="360"/>
      </w:pPr>
      <w:rPr>
        <w:rFonts w:hint="default" w:ascii="Calibri" w:hAnsi="Calibri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25" w15:restartNumberingAfterBreak="0">
    <w:nsid w:val="49FF79AD"/>
    <w:multiLevelType w:val="hybridMultilevel"/>
    <w:tmpl w:val="83F4A20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DB42BEA"/>
    <w:multiLevelType w:val="hybridMultilevel"/>
    <w:tmpl w:val="29948C5E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69402638">
      <w:numFmt w:val="bullet"/>
      <w:lvlText w:val="-"/>
      <w:lvlJc w:val="left"/>
      <w:pPr>
        <w:ind w:left="2880" w:hanging="720"/>
      </w:pPr>
      <w:rPr>
        <w:rFonts w:hint="default" w:ascii="Calibri" w:hAnsi="Calibri" w:cs="Calibri" w:eastAsiaTheme="minorHAnsi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59CB1122"/>
    <w:multiLevelType w:val="hybridMultilevel"/>
    <w:tmpl w:val="17ACA7A6"/>
    <w:lvl w:ilvl="0" w:tplc="FEF8003E">
      <w:numFmt w:val="bullet"/>
      <w:lvlText w:val="•"/>
      <w:lvlJc w:val="left"/>
      <w:pPr>
        <w:ind w:left="405" w:hanging="360"/>
      </w:pPr>
      <w:rPr>
        <w:rFonts w:hint="default" w:ascii="Calibri" w:hAnsi="Calibri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A5D72AA"/>
    <w:multiLevelType w:val="hybridMultilevel"/>
    <w:tmpl w:val="74ECF82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A6D5D91"/>
    <w:multiLevelType w:val="hybridMultilevel"/>
    <w:tmpl w:val="B41AB992"/>
    <w:lvl w:ilvl="0" w:tplc="FEF8003E">
      <w:numFmt w:val="bullet"/>
      <w:lvlText w:val="•"/>
      <w:lvlJc w:val="left"/>
      <w:pPr>
        <w:ind w:left="405" w:hanging="360"/>
      </w:pPr>
      <w:rPr>
        <w:rFonts w:hint="default" w:ascii="Calibri" w:hAnsi="Calibri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C4218A9"/>
    <w:multiLevelType w:val="hybridMultilevel"/>
    <w:tmpl w:val="8920F15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DB83886"/>
    <w:multiLevelType w:val="hybridMultilevel"/>
    <w:tmpl w:val="5FB8A11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32D74DF"/>
    <w:multiLevelType w:val="hybridMultilevel"/>
    <w:tmpl w:val="B1EC4B0C"/>
    <w:lvl w:ilvl="0" w:tplc="0C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33" w15:restartNumberingAfterBreak="0">
    <w:nsid w:val="63B27DE9"/>
    <w:multiLevelType w:val="hybridMultilevel"/>
    <w:tmpl w:val="5BEA853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5E83D06"/>
    <w:multiLevelType w:val="hybridMultilevel"/>
    <w:tmpl w:val="8D06A9E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FFA1B93"/>
    <w:multiLevelType w:val="hybridMultilevel"/>
    <w:tmpl w:val="1A4631B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FCB5AEA"/>
    <w:multiLevelType w:val="hybridMultilevel"/>
    <w:tmpl w:val="1076CC0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36"/>
  </w:num>
  <w:num w:numId="3">
    <w:abstractNumId w:val="3"/>
  </w:num>
  <w:num w:numId="4">
    <w:abstractNumId w:val="25"/>
  </w:num>
  <w:num w:numId="5">
    <w:abstractNumId w:val="9"/>
  </w:num>
  <w:num w:numId="6">
    <w:abstractNumId w:val="7"/>
  </w:num>
  <w:num w:numId="7">
    <w:abstractNumId w:val="30"/>
  </w:num>
  <w:num w:numId="8">
    <w:abstractNumId w:val="21"/>
  </w:num>
  <w:num w:numId="9">
    <w:abstractNumId w:val="2"/>
  </w:num>
  <w:num w:numId="10">
    <w:abstractNumId w:val="11"/>
  </w:num>
  <w:num w:numId="11">
    <w:abstractNumId w:val="26"/>
  </w:num>
  <w:num w:numId="12">
    <w:abstractNumId w:val="23"/>
  </w:num>
  <w:num w:numId="13">
    <w:abstractNumId w:val="13"/>
  </w:num>
  <w:num w:numId="14">
    <w:abstractNumId w:val="34"/>
  </w:num>
  <w:num w:numId="15">
    <w:abstractNumId w:val="33"/>
  </w:num>
  <w:num w:numId="16">
    <w:abstractNumId w:val="16"/>
  </w:num>
  <w:num w:numId="17">
    <w:abstractNumId w:val="10"/>
  </w:num>
  <w:num w:numId="18">
    <w:abstractNumId w:val="19"/>
  </w:num>
  <w:num w:numId="19">
    <w:abstractNumId w:val="14"/>
  </w:num>
  <w:num w:numId="20">
    <w:abstractNumId w:val="31"/>
  </w:num>
  <w:num w:numId="21">
    <w:abstractNumId w:val="4"/>
  </w:num>
  <w:num w:numId="22">
    <w:abstractNumId w:val="32"/>
  </w:num>
  <w:num w:numId="23">
    <w:abstractNumId w:val="24"/>
  </w:num>
  <w:num w:numId="24">
    <w:abstractNumId w:val="1"/>
  </w:num>
  <w:num w:numId="25">
    <w:abstractNumId w:val="22"/>
  </w:num>
  <w:num w:numId="26">
    <w:abstractNumId w:val="29"/>
  </w:num>
  <w:num w:numId="27">
    <w:abstractNumId w:val="8"/>
  </w:num>
  <w:num w:numId="28">
    <w:abstractNumId w:val="27"/>
  </w:num>
  <w:num w:numId="29">
    <w:abstractNumId w:val="0"/>
  </w:num>
  <w:num w:numId="30">
    <w:abstractNumId w:val="18"/>
  </w:num>
  <w:num w:numId="31">
    <w:abstractNumId w:val="28"/>
  </w:num>
  <w:num w:numId="32">
    <w:abstractNumId w:val="12"/>
  </w:num>
  <w:num w:numId="33">
    <w:abstractNumId w:val="35"/>
  </w:num>
  <w:num w:numId="34">
    <w:abstractNumId w:val="20"/>
  </w:num>
  <w:num w:numId="35">
    <w:abstractNumId w:val="6"/>
  </w:num>
  <w:num w:numId="36">
    <w:abstractNumId w:val="1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B7"/>
    <w:rsid w:val="00005625"/>
    <w:rsid w:val="000648E2"/>
    <w:rsid w:val="00073EE8"/>
    <w:rsid w:val="00086722"/>
    <w:rsid w:val="00095665"/>
    <w:rsid w:val="000F1EAD"/>
    <w:rsid w:val="00112C5E"/>
    <w:rsid w:val="00135397"/>
    <w:rsid w:val="00173ABC"/>
    <w:rsid w:val="00185B6C"/>
    <w:rsid w:val="00186F26"/>
    <w:rsid w:val="00192167"/>
    <w:rsid w:val="001C421D"/>
    <w:rsid w:val="001F1CC6"/>
    <w:rsid w:val="00205922"/>
    <w:rsid w:val="00212C43"/>
    <w:rsid w:val="00222D1A"/>
    <w:rsid w:val="002230E2"/>
    <w:rsid w:val="002351E2"/>
    <w:rsid w:val="0025047D"/>
    <w:rsid w:val="00284537"/>
    <w:rsid w:val="00297D06"/>
    <w:rsid w:val="002A74A3"/>
    <w:rsid w:val="002B12E4"/>
    <w:rsid w:val="002B4322"/>
    <w:rsid w:val="002C46F6"/>
    <w:rsid w:val="002D21A8"/>
    <w:rsid w:val="002E49EA"/>
    <w:rsid w:val="002F5893"/>
    <w:rsid w:val="003041CF"/>
    <w:rsid w:val="0033567C"/>
    <w:rsid w:val="00344399"/>
    <w:rsid w:val="003560CB"/>
    <w:rsid w:val="00360CA8"/>
    <w:rsid w:val="00362C95"/>
    <w:rsid w:val="003708CA"/>
    <w:rsid w:val="003854F6"/>
    <w:rsid w:val="00394AC5"/>
    <w:rsid w:val="003B48E6"/>
    <w:rsid w:val="003C0FF4"/>
    <w:rsid w:val="003D0383"/>
    <w:rsid w:val="003E3F15"/>
    <w:rsid w:val="003F7B34"/>
    <w:rsid w:val="00406825"/>
    <w:rsid w:val="00471E09"/>
    <w:rsid w:val="004814D4"/>
    <w:rsid w:val="00484F5D"/>
    <w:rsid w:val="004867EE"/>
    <w:rsid w:val="004C2F03"/>
    <w:rsid w:val="004C3DEF"/>
    <w:rsid w:val="0051662D"/>
    <w:rsid w:val="00526EFD"/>
    <w:rsid w:val="0053362D"/>
    <w:rsid w:val="00534F24"/>
    <w:rsid w:val="00541C37"/>
    <w:rsid w:val="00545594"/>
    <w:rsid w:val="00556674"/>
    <w:rsid w:val="005A59C4"/>
    <w:rsid w:val="005E6A04"/>
    <w:rsid w:val="005F0C60"/>
    <w:rsid w:val="005F7DC4"/>
    <w:rsid w:val="00600937"/>
    <w:rsid w:val="00626AB7"/>
    <w:rsid w:val="00650385"/>
    <w:rsid w:val="00656A86"/>
    <w:rsid w:val="00662E81"/>
    <w:rsid w:val="006633D2"/>
    <w:rsid w:val="00666FF2"/>
    <w:rsid w:val="006702EE"/>
    <w:rsid w:val="006902B5"/>
    <w:rsid w:val="006B1D12"/>
    <w:rsid w:val="006B7205"/>
    <w:rsid w:val="006E360F"/>
    <w:rsid w:val="00713C64"/>
    <w:rsid w:val="00716F9B"/>
    <w:rsid w:val="007307D3"/>
    <w:rsid w:val="00763F17"/>
    <w:rsid w:val="00765E25"/>
    <w:rsid w:val="00767958"/>
    <w:rsid w:val="007841E9"/>
    <w:rsid w:val="0079088A"/>
    <w:rsid w:val="007D0989"/>
    <w:rsid w:val="00821A57"/>
    <w:rsid w:val="00874CEE"/>
    <w:rsid w:val="008A2541"/>
    <w:rsid w:val="008C5722"/>
    <w:rsid w:val="008D1606"/>
    <w:rsid w:val="008E5F99"/>
    <w:rsid w:val="008F1F44"/>
    <w:rsid w:val="008F1F65"/>
    <w:rsid w:val="009138B0"/>
    <w:rsid w:val="00914470"/>
    <w:rsid w:val="00926E0D"/>
    <w:rsid w:val="009661DC"/>
    <w:rsid w:val="00972BE6"/>
    <w:rsid w:val="00975BFF"/>
    <w:rsid w:val="00981102"/>
    <w:rsid w:val="009B065A"/>
    <w:rsid w:val="009D5919"/>
    <w:rsid w:val="009E148A"/>
    <w:rsid w:val="00A11A19"/>
    <w:rsid w:val="00A42FD5"/>
    <w:rsid w:val="00A522CD"/>
    <w:rsid w:val="00A73A9C"/>
    <w:rsid w:val="00A77DAE"/>
    <w:rsid w:val="00A8210D"/>
    <w:rsid w:val="00AA04B5"/>
    <w:rsid w:val="00AD71CF"/>
    <w:rsid w:val="00B06A61"/>
    <w:rsid w:val="00B23CC7"/>
    <w:rsid w:val="00B5259B"/>
    <w:rsid w:val="00B8354C"/>
    <w:rsid w:val="00B9094E"/>
    <w:rsid w:val="00BB719A"/>
    <w:rsid w:val="00BD03B6"/>
    <w:rsid w:val="00BE506F"/>
    <w:rsid w:val="00BF4B13"/>
    <w:rsid w:val="00C4130C"/>
    <w:rsid w:val="00C47880"/>
    <w:rsid w:val="00C51FAB"/>
    <w:rsid w:val="00C55B5B"/>
    <w:rsid w:val="00C5723C"/>
    <w:rsid w:val="00C737FC"/>
    <w:rsid w:val="00C80F7E"/>
    <w:rsid w:val="00C848AE"/>
    <w:rsid w:val="00C94898"/>
    <w:rsid w:val="00CC7A7B"/>
    <w:rsid w:val="00CE750C"/>
    <w:rsid w:val="00D22EF7"/>
    <w:rsid w:val="00D34610"/>
    <w:rsid w:val="00D430D6"/>
    <w:rsid w:val="00D449BE"/>
    <w:rsid w:val="00D53452"/>
    <w:rsid w:val="00D727BB"/>
    <w:rsid w:val="00D8693C"/>
    <w:rsid w:val="00DA23E5"/>
    <w:rsid w:val="00DE5409"/>
    <w:rsid w:val="00E02F11"/>
    <w:rsid w:val="00E12C7D"/>
    <w:rsid w:val="00E4274B"/>
    <w:rsid w:val="00E44014"/>
    <w:rsid w:val="00E45348"/>
    <w:rsid w:val="00E53531"/>
    <w:rsid w:val="00E671F4"/>
    <w:rsid w:val="00E83406"/>
    <w:rsid w:val="00E920FB"/>
    <w:rsid w:val="00EB38B7"/>
    <w:rsid w:val="00EB5EAD"/>
    <w:rsid w:val="00EF560C"/>
    <w:rsid w:val="00F066C8"/>
    <w:rsid w:val="00F07840"/>
    <w:rsid w:val="00F578ED"/>
    <w:rsid w:val="00F64193"/>
    <w:rsid w:val="00F720EE"/>
    <w:rsid w:val="00FE6159"/>
    <w:rsid w:val="00FF06A2"/>
    <w:rsid w:val="00FF1795"/>
    <w:rsid w:val="00FF26B5"/>
    <w:rsid w:val="00FF4DC1"/>
    <w:rsid w:val="43568C33"/>
    <w:rsid w:val="6969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2EB9B"/>
  <w15:chartTrackingRefBased/>
  <w15:docId w15:val="{066B0F07-991A-4A79-987B-E1FAE646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1606"/>
  </w:style>
  <w:style w:type="paragraph" w:styleId="Heading1">
    <w:name w:val="heading 1"/>
    <w:basedOn w:val="Normal"/>
    <w:next w:val="Normal"/>
    <w:link w:val="Heading1Char"/>
    <w:uiPriority w:val="9"/>
    <w:qFormat/>
    <w:rsid w:val="00626AB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21D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79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26AB7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26A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A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560C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4559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C5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572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8C57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72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C57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C5722"/>
    <w:rPr>
      <w:rFonts w:ascii="Segoe UI" w:hAnsi="Segoe UI" w:cs="Segoe UI"/>
      <w:sz w:val="18"/>
      <w:szCs w:val="18"/>
    </w:rPr>
  </w:style>
  <w:style w:type="character" w:styleId="Heading2Char" w:customStyle="1">
    <w:name w:val="Heading 2 Char"/>
    <w:basedOn w:val="DefaultParagraphFont"/>
    <w:link w:val="Heading2"/>
    <w:uiPriority w:val="9"/>
    <w:rsid w:val="001C421D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FF1795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74A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A74A3"/>
  </w:style>
  <w:style w:type="paragraph" w:styleId="Footer">
    <w:name w:val="footer"/>
    <w:basedOn w:val="Normal"/>
    <w:link w:val="FooterChar"/>
    <w:uiPriority w:val="99"/>
    <w:unhideWhenUsed/>
    <w:rsid w:val="002A74A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A74A3"/>
  </w:style>
  <w:style w:type="table" w:styleId="TableGrid">
    <w:name w:val="Table Grid"/>
    <w:basedOn w:val="TableNormal"/>
    <w:uiPriority w:val="39"/>
    <w:rsid w:val="00F578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s://www.vcaa.vic.edu.au/Documents/viccurric/RevisedF10CurriculumPlanningReportingGuidelines.pdf" TargetMode="Externa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4" /><Relationship Type="http://schemas.openxmlformats.org/officeDocument/2006/relationships/webSettings" Target="webSetting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2851F933BD64F95487652699DA03C" ma:contentTypeVersion="9" ma:contentTypeDescription="Create a new document." ma:contentTypeScope="" ma:versionID="a057ff2662c71e7a281dbd211de5708e">
  <xsd:schema xmlns:xsd="http://www.w3.org/2001/XMLSchema" xmlns:xs="http://www.w3.org/2001/XMLSchema" xmlns:p="http://schemas.microsoft.com/office/2006/metadata/properties" xmlns:ns2="5c226a96-3bb7-47d9-af5e-de7580d7f386" targetNamespace="http://schemas.microsoft.com/office/2006/metadata/properties" ma:root="true" ma:fieldsID="6e64daa66ff6485d0f9d1b1fa2464d53" ns2:_="">
    <xsd:import namespace="5c226a96-3bb7-47d9-af5e-de7580d7f3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26a96-3bb7-47d9-af5e-de7580d7f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C5C48-F9AD-4AB5-A918-65037981196A}"/>
</file>

<file path=customXml/itemProps2.xml><?xml version="1.0" encoding="utf-8"?>
<ds:datastoreItem xmlns:ds="http://schemas.openxmlformats.org/officeDocument/2006/customXml" ds:itemID="{D67AD286-62A2-4795-89BF-27FE093783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3.xml><?xml version="1.0" encoding="utf-8"?>
<ds:datastoreItem xmlns:ds="http://schemas.openxmlformats.org/officeDocument/2006/customXml" ds:itemID="{CD0926BC-29F2-4C3A-80E6-ABAC92E7F0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8B1B1A-B4FD-4667-91CB-736FE52F08F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F073863-0C8D-4412-9519-EF054331665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Department of Education and Training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Suddenly, Julia L</dc:creator>
  <cp:keywords/>
  <dc:description/>
  <cp:lastModifiedBy>Martin Gray</cp:lastModifiedBy>
  <cp:revision>4</cp:revision>
  <cp:lastPrinted>2021-02-17T04:26:00Z</cp:lastPrinted>
  <dcterms:created xsi:type="dcterms:W3CDTF">2021-02-17T04:25:00Z</dcterms:created>
  <dcterms:modified xsi:type="dcterms:W3CDTF">2021-03-03T23:28:25Z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0x01010008E2851F933BD64F95487652699DA03C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{a7962a52-edd5-4701-9c7a-8c8cd890d953}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R2018/0249735</vt:lpwstr>
  </property>
  <property fmtid="{D5CDD505-2E9C-101B-9397-08002B2CF9AE}" pid="12" name="RecordPoint_SubmissionCompleted">
    <vt:lpwstr>2018-05-11T08:44:20.7396716+10:00</vt:lpwstr>
  </property>
</Properties>
</file>