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79CC" w14:textId="32E8C12A" w:rsidR="00B36BCC" w:rsidRPr="00B36BCC" w:rsidRDefault="001641DF" w:rsidP="0097412E">
      <w:pPr>
        <w:spacing w:after="0"/>
        <w:rPr>
          <w:noProof/>
          <w:color w:val="E1122A"/>
          <w:sz w:val="15"/>
          <w:szCs w:val="15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4067" wp14:editId="52870164">
                <wp:simplePos x="0" y="0"/>
                <wp:positionH relativeFrom="margin">
                  <wp:posOffset>1365885</wp:posOffset>
                </wp:positionH>
                <wp:positionV relativeFrom="paragraph">
                  <wp:posOffset>13335</wp:posOffset>
                </wp:positionV>
                <wp:extent cx="8858250" cy="6286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6286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4809B5" w14:textId="2A0E5F53" w:rsidR="0097412E" w:rsidRPr="00C06B9A" w:rsidRDefault="00C135DB" w:rsidP="0097412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C06B9A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Murrabit Group</w:t>
                            </w:r>
                            <w:r w:rsidR="00B36BCC" w:rsidRPr="00C06B9A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School</w:t>
                            </w:r>
                          </w:p>
                          <w:p w14:paraId="69A93B5F" w14:textId="4EB91C30" w:rsidR="0097412E" w:rsidRPr="00C06B9A" w:rsidRDefault="00B47BED" w:rsidP="0097412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6B9A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202</w:t>
                            </w:r>
                            <w:r w:rsidR="00930A53" w:rsidRPr="00C06B9A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97412E" w:rsidRPr="00C06B9A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B36BCC" w:rsidRPr="00C06B9A">
                              <w:rPr>
                                <w:b/>
                                <w:noProof/>
                                <w:color w:val="FFFFFF" w:themeColor="background1"/>
                                <w:sz w:val="3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AIP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A40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7.55pt;margin-top:1.05pt;width:69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" fillcolor="#002060" stroked="f">
                <v:textbox>
                  <w:txbxContent>
                    <w:p w14:paraId="5F4809B5" w14:textId="2A0E5F53" w:rsidR="0097412E" w:rsidRPr="00C06B9A" w:rsidRDefault="00C135DB" w:rsidP="0097412E">
                      <w:pPr>
                        <w:spacing w:after="0"/>
                        <w:jc w:val="center"/>
                        <w:rPr>
                          <w:b/>
                          <w:noProof/>
                          <w:color w:val="FFFFFF" w:themeColor="background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C06B9A">
                        <w:rPr>
                          <w:b/>
                          <w:noProof/>
                          <w:color w:val="FFFFFF" w:themeColor="background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Murrabit Group</w:t>
                      </w:r>
                      <w:r w:rsidR="00B36BCC" w:rsidRPr="00C06B9A">
                        <w:rPr>
                          <w:b/>
                          <w:noProof/>
                          <w:color w:val="FFFFFF" w:themeColor="background1"/>
                          <w:sz w:val="36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School</w:t>
                      </w:r>
                    </w:p>
                    <w:p w14:paraId="69A93B5F" w14:textId="4EB91C30" w:rsidR="0097412E" w:rsidRPr="00C06B9A" w:rsidRDefault="00B47BED" w:rsidP="0097412E">
                      <w:pPr>
                        <w:spacing w:after="0"/>
                        <w:jc w:val="center"/>
                        <w:rPr>
                          <w:b/>
                          <w:noProof/>
                          <w:color w:val="FFFFFF" w:themeColor="background1"/>
                          <w:sz w:val="3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06B9A">
                        <w:rPr>
                          <w:b/>
                          <w:noProof/>
                          <w:color w:val="FFFFFF" w:themeColor="background1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202</w:t>
                      </w:r>
                      <w:r w:rsidR="00930A53" w:rsidRPr="00C06B9A">
                        <w:rPr>
                          <w:b/>
                          <w:noProof/>
                          <w:color w:val="FFFFFF" w:themeColor="background1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  <w:r w:rsidR="0097412E" w:rsidRPr="00C06B9A">
                        <w:rPr>
                          <w:b/>
                          <w:noProof/>
                          <w:color w:val="FFFFFF" w:themeColor="background1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r w:rsidR="00B36BCC" w:rsidRPr="00C06B9A">
                        <w:rPr>
                          <w:b/>
                          <w:noProof/>
                          <w:color w:val="FFFFFF" w:themeColor="background1"/>
                          <w:sz w:val="3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AIP Summary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05271">
        <w:rPr>
          <w:rFonts w:cstheme="minorHAnsi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1A97DD15" wp14:editId="71EC7E5D">
            <wp:simplePos x="0" y="0"/>
            <wp:positionH relativeFrom="margin">
              <wp:posOffset>118110</wp:posOffset>
            </wp:positionH>
            <wp:positionV relativeFrom="paragraph">
              <wp:posOffset>0</wp:posOffset>
            </wp:positionV>
            <wp:extent cx="1162050" cy="628650"/>
            <wp:effectExtent l="0" t="0" r="0" b="0"/>
            <wp:wrapSquare wrapText="bothSides"/>
            <wp:docPr id="25" name="Picture 1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" descr="Graphical user interface, application, Wor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92" t="27219" r="9685" b="26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1"/>
        <w:gridCol w:w="2835"/>
        <w:gridCol w:w="4151"/>
        <w:gridCol w:w="949"/>
        <w:gridCol w:w="6034"/>
      </w:tblGrid>
      <w:tr w:rsidR="00CA1E97" w:rsidRPr="00D07AE9" w14:paraId="05BA081A" w14:textId="77777777" w:rsidTr="008D3FEC">
        <w:trPr>
          <w:trHeight w:val="3670"/>
        </w:trPr>
        <w:tc>
          <w:tcPr>
            <w:tcW w:w="659" w:type="pct"/>
            <w:shd w:val="clear" w:color="auto" w:fill="0070C0"/>
            <w:vAlign w:val="center"/>
          </w:tcPr>
          <w:p w14:paraId="019E5830" w14:textId="1A8A92A3" w:rsidR="00CA1E97" w:rsidRDefault="00CA1E97" w:rsidP="00052EF0">
            <w:pPr>
              <w:rPr>
                <w:b/>
                <w:color w:val="FFFF00"/>
                <w:sz w:val="18"/>
                <w:szCs w:val="18"/>
              </w:rPr>
            </w:pPr>
          </w:p>
          <w:p w14:paraId="32A9CB15" w14:textId="3A86411F" w:rsidR="00CA1E97" w:rsidRPr="004279F2" w:rsidRDefault="00CA1E97" w:rsidP="00052EF0">
            <w:pPr>
              <w:rPr>
                <w:b/>
                <w:color w:val="A8D08D" w:themeColor="accent6" w:themeTint="99"/>
                <w:sz w:val="24"/>
                <w:szCs w:val="24"/>
              </w:rPr>
            </w:pPr>
            <w:r w:rsidRPr="004279F2">
              <w:rPr>
                <w:b/>
                <w:color w:val="A8D08D" w:themeColor="accent6" w:themeTint="99"/>
                <w:sz w:val="24"/>
                <w:szCs w:val="24"/>
              </w:rPr>
              <w:t>202</w:t>
            </w:r>
            <w:r>
              <w:rPr>
                <w:b/>
                <w:color w:val="A8D08D" w:themeColor="accent6" w:themeTint="99"/>
                <w:sz w:val="24"/>
                <w:szCs w:val="24"/>
              </w:rPr>
              <w:t>3</w:t>
            </w:r>
          </w:p>
          <w:p w14:paraId="36E0AD76" w14:textId="77777777" w:rsidR="00CA1E97" w:rsidRPr="003F1604" w:rsidRDefault="00CA1E97" w:rsidP="00052EF0">
            <w:pPr>
              <w:rPr>
                <w:b/>
                <w:color w:val="FFFF00"/>
                <w:sz w:val="18"/>
                <w:szCs w:val="18"/>
              </w:rPr>
            </w:pPr>
            <w:r w:rsidRPr="004279F2">
              <w:rPr>
                <w:b/>
                <w:color w:val="A8D08D" w:themeColor="accent6" w:themeTint="99"/>
                <w:sz w:val="24"/>
                <w:szCs w:val="24"/>
              </w:rPr>
              <w:t>Priorities Goal</w:t>
            </w:r>
          </w:p>
        </w:tc>
        <w:tc>
          <w:tcPr>
            <w:tcW w:w="2171" w:type="pct"/>
            <w:gridSpan w:val="2"/>
            <w:shd w:val="clear" w:color="auto" w:fill="BDD6EE" w:themeFill="accent1" w:themeFillTint="66"/>
            <w:vAlign w:val="center"/>
          </w:tcPr>
          <w:p w14:paraId="511BFA49" w14:textId="77777777" w:rsidR="00CA1E97" w:rsidRDefault="00CA1E97" w:rsidP="00C416F6">
            <w:pPr>
              <w:spacing w:before="150" w:after="150" w:line="360" w:lineRule="auto"/>
              <w:outlineLvl w:val="3"/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 2023 we will continue to focus on student learning - with an increased focus on numeracy - and student wellbeing through the 2023 Priorities Goal, a learning Key Improvement Strategy and a wellbeing Key Improvement Strategy.</w:t>
            </w:r>
          </w:p>
          <w:p w14:paraId="78220F01" w14:textId="1926B55B" w:rsidR="00CA1E97" w:rsidRPr="00223C05" w:rsidRDefault="00CA1E97" w:rsidP="00C416F6">
            <w:pPr>
              <w:spacing w:before="150" w:after="150" w:line="360" w:lineRule="auto"/>
              <w:outlineLvl w:val="3"/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71" w:type="pct"/>
            <w:gridSpan w:val="2"/>
            <w:shd w:val="clear" w:color="auto" w:fill="BDD6EE" w:themeFill="accent1" w:themeFillTint="66"/>
          </w:tcPr>
          <w:p w14:paraId="5447C103" w14:textId="77777777" w:rsidR="00CA1E97" w:rsidRPr="00C416F6" w:rsidRDefault="00CA1E97" w:rsidP="001641DF">
            <w:pPr>
              <w:spacing w:before="150" w:after="150"/>
              <w:outlineLvl w:val="3"/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  <w:lang w:eastAsia="en-AU"/>
              </w:rPr>
            </w:pPr>
            <w:r w:rsidRPr="00C416F6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  <w:lang w:eastAsia="en-AU"/>
              </w:rPr>
              <w:t xml:space="preserve">12 </w:t>
            </w:r>
            <w:proofErr w:type="spellStart"/>
            <w:r w:rsidRPr="00C416F6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  <w:lang w:eastAsia="en-AU"/>
              </w:rPr>
              <w:t>mth</w:t>
            </w:r>
            <w:proofErr w:type="spellEnd"/>
            <w:r w:rsidRPr="00C416F6">
              <w:rPr>
                <w:rFonts w:ascii="Arial" w:eastAsia="Times New Roman" w:hAnsi="Arial" w:cs="Arial"/>
                <w:i/>
                <w:color w:val="333333"/>
                <w:sz w:val="24"/>
                <w:szCs w:val="24"/>
                <w:u w:val="single"/>
                <w:shd w:val="clear" w:color="auto" w:fill="FFFFFF"/>
                <w:lang w:eastAsia="en-AU"/>
              </w:rPr>
              <w:t xml:space="preserve"> targets</w:t>
            </w:r>
          </w:p>
          <w:p w14:paraId="5FC48580" w14:textId="77777777" w:rsidR="00CA1E97" w:rsidRPr="00C416F6" w:rsidRDefault="00CA1E97" w:rsidP="001641DF">
            <w:pPr>
              <w:spacing w:before="150" w:after="150" w:line="240" w:lineRule="auto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Focus on student wellbeing to achieve the following:</w:t>
            </w:r>
          </w:p>
          <w:p w14:paraId="1142718B" w14:textId="6C61DDF3" w:rsidR="00CA1E97" w:rsidRPr="00C416F6" w:rsidRDefault="00CA1E97" w:rsidP="001641DF">
            <w:pPr>
              <w:spacing w:before="150" w:after="150" w:line="240" w:lineRule="auto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The </w:t>
            </w:r>
            <w:proofErr w:type="spellStart"/>
            <w:r w:rsidR="00C416F6"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AToSS</w:t>
            </w:r>
            <w:proofErr w:type="spellEnd"/>
            <w:r w:rsidR="00C416F6"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to</w:t>
            </w:r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reflect the following percentage of positive responses:</w:t>
            </w:r>
          </w:p>
          <w:p w14:paraId="3D0AA681" w14:textId="77777777" w:rsidR="00CA1E97" w:rsidRPr="00C416F6" w:rsidRDefault="00CA1E97" w:rsidP="001641DF">
            <w:pPr>
              <w:spacing w:before="150" w:after="150" w:line="240" w:lineRule="auto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Student opinion and motivation and interest to reach 94%</w:t>
            </w:r>
          </w:p>
          <w:p w14:paraId="5CA287DD" w14:textId="77777777" w:rsidR="00CA1E97" w:rsidRPr="00C416F6" w:rsidRDefault="00CA1E97" w:rsidP="001641DF">
            <w:pPr>
              <w:spacing w:before="150" w:after="150" w:line="240" w:lineRule="auto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Student and parent agency and voice to achieve 90%</w:t>
            </w:r>
          </w:p>
          <w:p w14:paraId="624323CB" w14:textId="77777777" w:rsidR="00CA1E97" w:rsidRPr="00C416F6" w:rsidRDefault="00CA1E97" w:rsidP="001641DF">
            <w:pPr>
              <w:spacing w:before="150" w:after="150" w:line="240" w:lineRule="auto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Promote student ownership of learning goals to achieve 70%</w:t>
            </w:r>
          </w:p>
          <w:p w14:paraId="44C0FBE9" w14:textId="77777777" w:rsidR="00CA1E97" w:rsidRPr="00C416F6" w:rsidRDefault="00CA1E97" w:rsidP="001641DF">
            <w:pPr>
              <w:spacing w:before="150" w:after="150" w:line="240" w:lineRule="auto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Collaborate to improve curriculum to reach 50% </w:t>
            </w:r>
          </w:p>
          <w:p w14:paraId="3A8CF954" w14:textId="77777777" w:rsidR="00CA1E97" w:rsidRPr="00C416F6" w:rsidRDefault="00CA1E97" w:rsidP="001641DF">
            <w:pPr>
              <w:spacing w:before="150" w:after="150" w:line="240" w:lineRule="auto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Monitor effectiveness using data to reach 50% </w:t>
            </w:r>
          </w:p>
          <w:p w14:paraId="4D45E3A1" w14:textId="77777777" w:rsidR="00CA1E97" w:rsidRPr="00C416F6" w:rsidRDefault="00CA1E97" w:rsidP="001641DF">
            <w:pPr>
              <w:spacing w:before="150" w:after="150" w:line="240" w:lineRule="auto"/>
              <w:outlineLvl w:val="3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Student learning (teacher judgment - semester 1 2022 to semester 1 </w:t>
            </w:r>
            <w:proofErr w:type="gramStart"/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2023 )</w:t>
            </w:r>
            <w:proofErr w:type="gramEnd"/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- increase the percentage of Year 1  to Year 6 students achieving above expected growth in:</w:t>
            </w:r>
          </w:p>
          <w:p w14:paraId="646B5C1F" w14:textId="0D3A88B5" w:rsidR="00CA1E97" w:rsidRPr="00C416F6" w:rsidRDefault="00CA1E97" w:rsidP="001641DF">
            <w:pPr>
              <w:spacing w:before="150" w:after="150"/>
              <w:outlineLvl w:val="3"/>
              <w:rPr>
                <w:rFonts w:eastAsia="Times New Roman" w:cstheme="minorHAnsi"/>
                <w:i/>
                <w:sz w:val="20"/>
                <w:szCs w:val="20"/>
                <w:lang w:eastAsia="en-AU"/>
              </w:rPr>
            </w:pPr>
            <w:r w:rsidRPr="00C416F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Number and Algebra from 21% (2019/2020) maintain 30% (2022/23).</w:t>
            </w:r>
          </w:p>
        </w:tc>
      </w:tr>
      <w:tr w:rsidR="004D58EF" w:rsidRPr="00D07AE9" w14:paraId="1EF67EB2" w14:textId="77777777" w:rsidTr="00CA1E97">
        <w:tc>
          <w:tcPr>
            <w:tcW w:w="659" w:type="pct"/>
            <w:vMerge w:val="restart"/>
            <w:shd w:val="clear" w:color="auto" w:fill="1F3864" w:themeFill="accent5" w:themeFillShade="80"/>
          </w:tcPr>
          <w:p w14:paraId="4CD58411" w14:textId="77777777" w:rsidR="004D58EF" w:rsidRPr="00952B4B" w:rsidRDefault="004D58EF" w:rsidP="00052EF0">
            <w:pPr>
              <w:rPr>
                <w:b/>
                <w:color w:val="A8D08D" w:themeColor="accent6" w:themeTint="99"/>
              </w:rPr>
            </w:pPr>
            <w:r w:rsidRPr="00952B4B">
              <w:rPr>
                <w:b/>
                <w:color w:val="A8D08D" w:themeColor="accent6" w:themeTint="99"/>
              </w:rPr>
              <w:t>Curriculum, Planning &amp; Assessment</w:t>
            </w:r>
          </w:p>
          <w:p w14:paraId="363869FA" w14:textId="77777777" w:rsidR="004D58EF" w:rsidRPr="00952B4B" w:rsidRDefault="004D58EF" w:rsidP="00052EF0">
            <w:pPr>
              <w:rPr>
                <w:b/>
                <w:color w:val="A8D08D" w:themeColor="accent6" w:themeTint="99"/>
              </w:rPr>
            </w:pPr>
          </w:p>
          <w:p w14:paraId="2D466194" w14:textId="77777777" w:rsidR="004D58EF" w:rsidRPr="00952B4B" w:rsidRDefault="004D58EF" w:rsidP="00052EF0">
            <w:pPr>
              <w:rPr>
                <w:b/>
                <w:color w:val="A8D08D" w:themeColor="accent6" w:themeTint="99"/>
              </w:rPr>
            </w:pPr>
            <w:r w:rsidRPr="00952B4B">
              <w:rPr>
                <w:b/>
                <w:color w:val="A8D08D" w:themeColor="accent6" w:themeTint="99"/>
              </w:rPr>
              <w:t>KIS 1</w:t>
            </w:r>
            <w:r w:rsidR="007F492C" w:rsidRPr="00952B4B">
              <w:rPr>
                <w:b/>
                <w:color w:val="A8D08D" w:themeColor="accent6" w:themeTint="99"/>
              </w:rPr>
              <w:t>.a</w:t>
            </w:r>
          </w:p>
          <w:p w14:paraId="001A48BB" w14:textId="77777777" w:rsidR="004D58EF" w:rsidRPr="00952B4B" w:rsidRDefault="00AB07F6" w:rsidP="00052EF0">
            <w:pPr>
              <w:rPr>
                <w:b/>
              </w:rPr>
            </w:pPr>
            <w:r w:rsidRPr="00952B4B">
              <w:rPr>
                <w:b/>
              </w:rPr>
              <w:t xml:space="preserve">Learning – Support both those who need extra support and those who have thrived to continue to extend their learning, especially in numeracy. </w:t>
            </w:r>
          </w:p>
        </w:tc>
        <w:tc>
          <w:tcPr>
            <w:tcW w:w="881" w:type="pct"/>
            <w:shd w:val="clear" w:color="auto" w:fill="A8D08D" w:themeFill="accent6" w:themeFillTint="99"/>
          </w:tcPr>
          <w:p w14:paraId="0B64D8DF" w14:textId="77777777" w:rsidR="004D58EF" w:rsidRPr="004279F2" w:rsidRDefault="004D58EF" w:rsidP="00052EF0">
            <w:pPr>
              <w:jc w:val="center"/>
              <w:rPr>
                <w:b/>
              </w:rPr>
            </w:pPr>
            <w:r w:rsidRPr="004279F2">
              <w:rPr>
                <w:b/>
              </w:rPr>
              <w:t>Actions</w:t>
            </w:r>
          </w:p>
        </w:tc>
        <w:tc>
          <w:tcPr>
            <w:tcW w:w="1585" w:type="pct"/>
            <w:gridSpan w:val="2"/>
            <w:shd w:val="clear" w:color="auto" w:fill="A8D08D" w:themeFill="accent6" w:themeFillTint="99"/>
          </w:tcPr>
          <w:p w14:paraId="36E09990" w14:textId="77777777" w:rsidR="004D58EF" w:rsidRPr="004279F2" w:rsidRDefault="004D58EF" w:rsidP="00052EF0">
            <w:pPr>
              <w:jc w:val="center"/>
              <w:rPr>
                <w:b/>
              </w:rPr>
            </w:pPr>
            <w:r w:rsidRPr="004279F2">
              <w:rPr>
                <w:b/>
              </w:rPr>
              <w:t xml:space="preserve">Activities &amp; Milestones </w:t>
            </w:r>
          </w:p>
        </w:tc>
        <w:tc>
          <w:tcPr>
            <w:tcW w:w="1875" w:type="pct"/>
            <w:shd w:val="clear" w:color="auto" w:fill="A8D08D" w:themeFill="accent6" w:themeFillTint="99"/>
          </w:tcPr>
          <w:p w14:paraId="616FF428" w14:textId="77777777" w:rsidR="004D58EF" w:rsidRPr="004279F2" w:rsidRDefault="004D58EF" w:rsidP="00052EF0">
            <w:pPr>
              <w:jc w:val="center"/>
              <w:rPr>
                <w:b/>
              </w:rPr>
            </w:pPr>
            <w:r w:rsidRPr="004279F2">
              <w:rPr>
                <w:b/>
              </w:rPr>
              <w:t>Success Indicators</w:t>
            </w:r>
          </w:p>
        </w:tc>
      </w:tr>
      <w:tr w:rsidR="004D58EF" w:rsidRPr="00D07AE9" w14:paraId="4BFF56B3" w14:textId="77777777" w:rsidTr="00CA1E97">
        <w:trPr>
          <w:trHeight w:val="3357"/>
        </w:trPr>
        <w:tc>
          <w:tcPr>
            <w:tcW w:w="659" w:type="pct"/>
            <w:vMerge/>
            <w:shd w:val="clear" w:color="auto" w:fill="1F3864" w:themeFill="accent5" w:themeFillShade="80"/>
          </w:tcPr>
          <w:p w14:paraId="7167362C" w14:textId="77777777" w:rsidR="004D58EF" w:rsidRPr="00952B4B" w:rsidRDefault="004D58EF" w:rsidP="00052EF0">
            <w:pPr>
              <w:rPr>
                <w:b/>
              </w:rPr>
            </w:pPr>
          </w:p>
        </w:tc>
        <w:tc>
          <w:tcPr>
            <w:tcW w:w="881" w:type="pct"/>
          </w:tcPr>
          <w:p w14:paraId="50F3DB52" w14:textId="18D844F0" w:rsidR="00B92DEB" w:rsidRPr="00B92DEB" w:rsidRDefault="00B92DEB" w:rsidP="00B92DEB">
            <w:pPr>
              <w:pStyle w:val="ES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DEB">
              <w:rPr>
                <w:rFonts w:asciiTheme="minorHAnsi" w:hAnsiTheme="minorHAnsi" w:cstheme="minorHAnsi"/>
                <w:sz w:val="22"/>
                <w:szCs w:val="22"/>
              </w:rPr>
              <w:t xml:space="preserve">Develop teacher knowledge and capacity to </w:t>
            </w:r>
            <w:r w:rsidR="008F6EBC" w:rsidRPr="00B92DEB">
              <w:rPr>
                <w:rFonts w:asciiTheme="minorHAnsi" w:hAnsiTheme="minorHAnsi" w:cstheme="minorHAnsi"/>
                <w:sz w:val="22"/>
                <w:szCs w:val="22"/>
              </w:rPr>
              <w:t>analyze</w:t>
            </w:r>
            <w:r w:rsidRPr="00B92DEB">
              <w:rPr>
                <w:rFonts w:asciiTheme="minorHAnsi" w:hAnsiTheme="minorHAnsi" w:cstheme="minorHAnsi"/>
                <w:sz w:val="22"/>
                <w:szCs w:val="22"/>
              </w:rPr>
              <w:t xml:space="preserve"> and use data and evidence to </w:t>
            </w:r>
            <w:r w:rsidR="008F6EBC" w:rsidRPr="00B92DEB">
              <w:rPr>
                <w:rFonts w:asciiTheme="minorHAnsi" w:hAnsiTheme="minorHAnsi" w:cstheme="minorHAnsi"/>
                <w:sz w:val="22"/>
                <w:szCs w:val="22"/>
              </w:rPr>
              <w:t>inform</w:t>
            </w:r>
            <w:r w:rsidRPr="00B92DEB">
              <w:rPr>
                <w:rFonts w:asciiTheme="minorHAnsi" w:hAnsiTheme="minorHAnsi" w:cstheme="minorHAnsi"/>
                <w:sz w:val="22"/>
                <w:szCs w:val="22"/>
              </w:rPr>
              <w:t xml:space="preserve"> planning and implementing effective practices in </w:t>
            </w:r>
            <w:r w:rsidR="008F6EBC" w:rsidRPr="00B92DEB">
              <w:rPr>
                <w:rFonts w:asciiTheme="minorHAnsi" w:hAnsiTheme="minorHAnsi" w:cstheme="minorHAnsi"/>
                <w:sz w:val="22"/>
                <w:szCs w:val="22"/>
              </w:rPr>
              <w:t>math</w:t>
            </w:r>
            <w:r w:rsidRPr="00B92DE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EB297BD" w14:textId="3631C1C4" w:rsidR="004D58EF" w:rsidRPr="004279F2" w:rsidRDefault="00B92DEB" w:rsidP="00B92DEB">
            <w:pPr>
              <w:pStyle w:val="ESBody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B92DEB">
              <w:rPr>
                <w:rFonts w:asciiTheme="minorHAnsi" w:hAnsiTheme="minorHAnsi" w:cstheme="minorHAnsi"/>
                <w:sz w:val="22"/>
                <w:szCs w:val="22"/>
              </w:rPr>
              <w:t>Leverage systems and structures to enable collaboration as a whole school and reflection on student outcomes.</w:t>
            </w:r>
          </w:p>
        </w:tc>
        <w:tc>
          <w:tcPr>
            <w:tcW w:w="1585" w:type="pct"/>
            <w:gridSpan w:val="2"/>
          </w:tcPr>
          <w:p w14:paraId="6A1B4617" w14:textId="77777777" w:rsidR="003A415A" w:rsidRDefault="0070224D" w:rsidP="00AD3CEC">
            <w:pPr>
              <w:pStyle w:val="ESBodyText"/>
              <w:numPr>
                <w:ilvl w:val="0"/>
                <w:numId w:val="13"/>
              </w:numPr>
              <w:spacing w:after="0"/>
              <w:ind w:left="325" w:hanging="325"/>
              <w:rPr>
                <w:rFonts w:asciiTheme="minorHAnsi" w:hAnsiTheme="minorHAnsi" w:cstheme="minorHAnsi"/>
                <w:sz w:val="22"/>
                <w:szCs w:val="22"/>
              </w:rPr>
            </w:pPr>
            <w:r w:rsidRPr="0070224D">
              <w:rPr>
                <w:rFonts w:asciiTheme="minorHAnsi" w:hAnsiTheme="minorHAnsi" w:cstheme="minorHAnsi"/>
                <w:sz w:val="22"/>
                <w:szCs w:val="22"/>
              </w:rPr>
              <w:t>Visit PLC link schools and partake in a learning walk to look at instructional models in multiage and ability classrooms.</w:t>
            </w:r>
          </w:p>
          <w:p w14:paraId="5E518831" w14:textId="492DC521" w:rsidR="0070224D" w:rsidRDefault="0070224D" w:rsidP="00AD3CEC">
            <w:pPr>
              <w:pStyle w:val="ESBodyText"/>
              <w:numPr>
                <w:ilvl w:val="0"/>
                <w:numId w:val="13"/>
              </w:numPr>
              <w:spacing w:after="0"/>
              <w:ind w:left="325" w:hanging="325"/>
              <w:rPr>
                <w:rFonts w:asciiTheme="minorHAnsi" w:hAnsiTheme="minorHAnsi" w:cstheme="minorHAnsi"/>
                <w:sz w:val="22"/>
                <w:szCs w:val="22"/>
              </w:rPr>
            </w:pPr>
            <w:r w:rsidRPr="0070224D">
              <w:rPr>
                <w:rFonts w:asciiTheme="minorHAnsi" w:hAnsiTheme="minorHAnsi" w:cstheme="minorHAnsi"/>
                <w:sz w:val="22"/>
                <w:szCs w:val="22"/>
              </w:rPr>
              <w:t xml:space="preserve">Develop a consistent approach to teaching numeracy across the </w:t>
            </w:r>
            <w:r w:rsidR="00CB6E8C" w:rsidRPr="0070224D">
              <w:rPr>
                <w:rFonts w:asciiTheme="minorHAnsi" w:hAnsiTheme="minorHAnsi" w:cstheme="minorHAnsi"/>
                <w:sz w:val="22"/>
                <w:szCs w:val="22"/>
              </w:rPr>
              <w:t>school.</w:t>
            </w:r>
          </w:p>
          <w:p w14:paraId="765B829E" w14:textId="77777777" w:rsidR="00CB6E8C" w:rsidRDefault="00C72BA1" w:rsidP="00AD3CEC">
            <w:pPr>
              <w:pStyle w:val="ESBodyText"/>
              <w:numPr>
                <w:ilvl w:val="0"/>
                <w:numId w:val="13"/>
              </w:numPr>
              <w:spacing w:after="0"/>
              <w:ind w:left="325" w:hanging="325"/>
              <w:rPr>
                <w:rFonts w:asciiTheme="minorHAnsi" w:hAnsiTheme="minorHAnsi" w:cstheme="minorHAnsi"/>
                <w:sz w:val="22"/>
                <w:szCs w:val="22"/>
              </w:rPr>
            </w:pPr>
            <w:r w:rsidRPr="00C72BA1">
              <w:rPr>
                <w:rFonts w:asciiTheme="minorHAnsi" w:hAnsiTheme="minorHAnsi" w:cstheme="minorHAnsi"/>
                <w:sz w:val="22"/>
                <w:szCs w:val="22"/>
              </w:rPr>
              <w:t xml:space="preserve">Provide professional learning to staff around targeting student needs through varied assessment and recording data to cross </w:t>
            </w:r>
            <w:r w:rsidR="00CB6E8C" w:rsidRPr="00C72BA1">
              <w:rPr>
                <w:rFonts w:asciiTheme="minorHAnsi" w:hAnsiTheme="minorHAnsi" w:cstheme="minorHAnsi"/>
                <w:sz w:val="22"/>
                <w:szCs w:val="22"/>
              </w:rPr>
              <w:t>check.</w:t>
            </w:r>
            <w:r w:rsidRPr="00C72B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5799C4" w14:textId="5EA66958" w:rsidR="0070224D" w:rsidRDefault="00CB6E8C" w:rsidP="00CB6E8C">
            <w:pPr>
              <w:pStyle w:val="ESBodyText"/>
              <w:spacing w:after="0"/>
              <w:ind w:left="325"/>
              <w:rPr>
                <w:rFonts w:asciiTheme="minorHAnsi" w:hAnsiTheme="minorHAnsi" w:cstheme="minorHAnsi"/>
                <w:sz w:val="22"/>
                <w:szCs w:val="22"/>
              </w:rPr>
            </w:pPr>
            <w:r w:rsidRPr="00C72BA1">
              <w:rPr>
                <w:rFonts w:asciiTheme="minorHAnsi" w:hAnsiTheme="minorHAnsi" w:cstheme="minorHAnsi"/>
                <w:sz w:val="22"/>
                <w:szCs w:val="22"/>
              </w:rPr>
              <w:t>(PAT</w:t>
            </w:r>
            <w:r w:rsidR="00C72BA1" w:rsidRPr="00C72B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72BA1">
              <w:rPr>
                <w:rFonts w:asciiTheme="minorHAnsi" w:hAnsiTheme="minorHAnsi" w:cstheme="minorHAnsi"/>
                <w:sz w:val="22"/>
                <w:szCs w:val="22"/>
              </w:rPr>
              <w:t>Math</w:t>
            </w:r>
            <w:r w:rsidR="00C72BA1" w:rsidRPr="00C72BA1">
              <w:rPr>
                <w:rFonts w:asciiTheme="minorHAnsi" w:hAnsiTheme="minorHAnsi" w:cstheme="minorHAnsi"/>
                <w:sz w:val="22"/>
                <w:szCs w:val="22"/>
              </w:rPr>
              <w:t>, Essential Assessment, SPA, Top 10))</w:t>
            </w:r>
          </w:p>
          <w:p w14:paraId="50741B4F" w14:textId="77777777" w:rsidR="00C72BA1" w:rsidRDefault="00C72BA1" w:rsidP="00AD3CEC">
            <w:pPr>
              <w:pStyle w:val="ESBodyText"/>
              <w:numPr>
                <w:ilvl w:val="0"/>
                <w:numId w:val="13"/>
              </w:numPr>
              <w:spacing w:after="0"/>
              <w:ind w:left="325" w:hanging="325"/>
              <w:rPr>
                <w:rFonts w:asciiTheme="minorHAnsi" w:hAnsiTheme="minorHAnsi" w:cstheme="minorHAnsi"/>
                <w:sz w:val="22"/>
                <w:szCs w:val="22"/>
              </w:rPr>
            </w:pPr>
            <w:r w:rsidRPr="00C72BA1">
              <w:rPr>
                <w:rFonts w:asciiTheme="minorHAnsi" w:hAnsiTheme="minorHAnsi" w:cstheme="minorHAnsi"/>
                <w:sz w:val="22"/>
                <w:szCs w:val="22"/>
              </w:rPr>
              <w:t>To develop an understanding as a whole staff of the PLC process</w:t>
            </w:r>
          </w:p>
          <w:p w14:paraId="2FD0A250" w14:textId="5577BD9C" w:rsidR="00C72BA1" w:rsidRPr="00952B4B" w:rsidRDefault="00C72BA1" w:rsidP="00AD3CEC">
            <w:pPr>
              <w:pStyle w:val="ESBodyText"/>
              <w:numPr>
                <w:ilvl w:val="0"/>
                <w:numId w:val="13"/>
              </w:numPr>
              <w:spacing w:after="0"/>
              <w:ind w:left="325" w:hanging="325"/>
              <w:rPr>
                <w:rFonts w:asciiTheme="minorHAnsi" w:hAnsiTheme="minorHAnsi" w:cstheme="minorHAnsi"/>
                <w:sz w:val="22"/>
                <w:szCs w:val="22"/>
              </w:rPr>
            </w:pPr>
            <w:r w:rsidRPr="00C72BA1">
              <w:rPr>
                <w:rFonts w:asciiTheme="minorHAnsi" w:hAnsiTheme="minorHAnsi" w:cstheme="minorHAnsi"/>
                <w:sz w:val="22"/>
                <w:szCs w:val="22"/>
              </w:rPr>
              <w:t xml:space="preserve">Build and revise </w:t>
            </w:r>
            <w:r w:rsidR="00CB6E8C" w:rsidRPr="00C72BA1">
              <w:rPr>
                <w:rFonts w:asciiTheme="minorHAnsi" w:hAnsiTheme="minorHAnsi" w:cstheme="minorHAnsi"/>
                <w:sz w:val="22"/>
                <w:szCs w:val="22"/>
              </w:rPr>
              <w:t>math</w:t>
            </w:r>
            <w:r w:rsidRPr="00C72BA1">
              <w:rPr>
                <w:rFonts w:asciiTheme="minorHAnsi" w:hAnsiTheme="minorHAnsi" w:cstheme="minorHAnsi"/>
                <w:sz w:val="22"/>
                <w:szCs w:val="22"/>
              </w:rPr>
              <w:t xml:space="preserve"> resources, anchor charts, vocab walls, reflecting consistent math language across the school</w:t>
            </w:r>
          </w:p>
        </w:tc>
        <w:tc>
          <w:tcPr>
            <w:tcW w:w="1875" w:type="pct"/>
          </w:tcPr>
          <w:p w14:paraId="40A5BE8F" w14:textId="77777777" w:rsidR="00F5258E" w:rsidRPr="00F5258E" w:rsidRDefault="00F5258E" w:rsidP="00F5258E">
            <w:pPr>
              <w:pStyle w:val="ESBody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>Engage with PLC facilitator to unpack the Numeracy Guide and Math Tool Kit</w:t>
            </w:r>
          </w:p>
          <w:p w14:paraId="318C4B77" w14:textId="77777777" w:rsidR="00F5258E" w:rsidRPr="00F5258E" w:rsidRDefault="00F5258E" w:rsidP="00F5258E">
            <w:pPr>
              <w:pStyle w:val="ESBody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>PLC agenda</w:t>
            </w:r>
          </w:p>
          <w:p w14:paraId="6E37F410" w14:textId="77777777" w:rsidR="00F5258E" w:rsidRPr="00F5258E" w:rsidRDefault="00F5258E" w:rsidP="00F5258E">
            <w:pPr>
              <w:pStyle w:val="ESBody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>Majority of staff using shared collaboration platform- Google Drive</w:t>
            </w:r>
          </w:p>
          <w:p w14:paraId="739AEFDD" w14:textId="527E59D4" w:rsidR="00F5258E" w:rsidRPr="00F5258E" w:rsidRDefault="00F5258E" w:rsidP="00F5258E">
            <w:pPr>
              <w:pStyle w:val="ESBody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Agreed Instructional model </w:t>
            </w:r>
            <w:r w:rsidR="00CB6E8C"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>developed.</w:t>
            </w:r>
          </w:p>
          <w:p w14:paraId="19F0DA6A" w14:textId="77777777" w:rsidR="00F5258E" w:rsidRPr="00F5258E" w:rsidRDefault="00F5258E" w:rsidP="00F5258E">
            <w:pPr>
              <w:pStyle w:val="ESBody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>Evidence of staff inputting data and moderating assessments using the assessment schedule</w:t>
            </w:r>
          </w:p>
          <w:p w14:paraId="47F7C1FD" w14:textId="2263F537" w:rsidR="00F5258E" w:rsidRPr="00F5258E" w:rsidRDefault="00F5258E" w:rsidP="00F5258E">
            <w:pPr>
              <w:pStyle w:val="ESBody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staff participating in collaborative conversations and professional </w:t>
            </w:r>
            <w:r w:rsidR="00CB6E8C"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>development.</w:t>
            </w:r>
          </w:p>
          <w:p w14:paraId="06D9EA92" w14:textId="5AFE098C" w:rsidR="00F5258E" w:rsidRPr="00F5258E" w:rsidRDefault="00F5258E" w:rsidP="00F5258E">
            <w:pPr>
              <w:pStyle w:val="ESBody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All students experience 12mth growth in </w:t>
            </w:r>
            <w:r w:rsidR="00CB6E8C"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>numeracy.</w:t>
            </w:r>
          </w:p>
          <w:p w14:paraId="7108867A" w14:textId="77777777" w:rsidR="00F5258E" w:rsidRPr="00F5258E" w:rsidRDefault="00F5258E" w:rsidP="00F5258E">
            <w:pPr>
              <w:pStyle w:val="ESBody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>Students will co-design their learning goals and reflect on these regularly.</w:t>
            </w:r>
          </w:p>
          <w:p w14:paraId="087001BD" w14:textId="6F1BF34C" w:rsidR="004D58EF" w:rsidRPr="004279F2" w:rsidRDefault="00F5258E" w:rsidP="00F5258E">
            <w:pPr>
              <w:pStyle w:val="ESBodyText"/>
              <w:numPr>
                <w:ilvl w:val="0"/>
                <w:numId w:val="10"/>
              </w:numPr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258E">
              <w:rPr>
                <w:rFonts w:asciiTheme="minorHAnsi" w:hAnsiTheme="minorHAnsi" w:cstheme="minorHAnsi"/>
                <w:bCs/>
                <w:sz w:val="22"/>
                <w:szCs w:val="22"/>
              </w:rPr>
              <w:t>Parent awareness through information evenings, communications in the newsletter and family math fun nights.</w:t>
            </w:r>
          </w:p>
        </w:tc>
      </w:tr>
      <w:tr w:rsidR="003A415A" w:rsidRPr="00D07AE9" w14:paraId="69F9762C" w14:textId="77777777" w:rsidTr="00CA1E97">
        <w:trPr>
          <w:trHeight w:val="138"/>
        </w:trPr>
        <w:tc>
          <w:tcPr>
            <w:tcW w:w="659" w:type="pct"/>
            <w:vMerge/>
            <w:shd w:val="clear" w:color="auto" w:fill="1F3864" w:themeFill="accent5" w:themeFillShade="80"/>
          </w:tcPr>
          <w:p w14:paraId="1DADDCDB" w14:textId="77777777" w:rsidR="003A415A" w:rsidRPr="00952B4B" w:rsidRDefault="003A415A" w:rsidP="00052EF0">
            <w:pPr>
              <w:rPr>
                <w:b/>
              </w:rPr>
            </w:pPr>
          </w:p>
        </w:tc>
        <w:tc>
          <w:tcPr>
            <w:tcW w:w="881" w:type="pct"/>
          </w:tcPr>
          <w:p w14:paraId="0DFA81A1" w14:textId="77777777" w:rsidR="003A415A" w:rsidRPr="004279F2" w:rsidRDefault="003A415A" w:rsidP="003A415A">
            <w:pPr>
              <w:pStyle w:val="ESBodyText"/>
              <w:spacing w:after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585" w:type="pct"/>
            <w:gridSpan w:val="2"/>
          </w:tcPr>
          <w:p w14:paraId="2E0A8D06" w14:textId="0F8B0B22" w:rsidR="003A415A" w:rsidRPr="00AD3CEC" w:rsidRDefault="003A415A" w:rsidP="003A415A">
            <w:pPr>
              <w:pStyle w:val="ESBodyTex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75" w:type="pct"/>
          </w:tcPr>
          <w:p w14:paraId="13E8EDDA" w14:textId="22B1E788" w:rsidR="003A415A" w:rsidRPr="004279F2" w:rsidRDefault="003A415A" w:rsidP="003A415A">
            <w:pPr>
              <w:pStyle w:val="ESBodyText"/>
              <w:spacing w:after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A415A" w:rsidRPr="00D07AE9" w14:paraId="6E3DAC34" w14:textId="77777777" w:rsidTr="00CA1E97">
        <w:trPr>
          <w:trHeight w:val="3634"/>
        </w:trPr>
        <w:tc>
          <w:tcPr>
            <w:tcW w:w="659" w:type="pct"/>
            <w:vMerge w:val="restart"/>
            <w:shd w:val="clear" w:color="auto" w:fill="5B9BD5" w:themeFill="accent1"/>
          </w:tcPr>
          <w:p w14:paraId="223755BF" w14:textId="77777777" w:rsidR="003A415A" w:rsidRPr="00952B4B" w:rsidRDefault="003A415A" w:rsidP="00052EF0">
            <w:pPr>
              <w:rPr>
                <w:b/>
                <w:color w:val="002060"/>
              </w:rPr>
            </w:pPr>
            <w:r w:rsidRPr="00952B4B">
              <w:rPr>
                <w:b/>
                <w:color w:val="002060"/>
              </w:rPr>
              <w:lastRenderedPageBreak/>
              <w:t>Health &amp; Wellbeing</w:t>
            </w:r>
          </w:p>
          <w:p w14:paraId="3FE1391C" w14:textId="77777777" w:rsidR="003A415A" w:rsidRPr="00952B4B" w:rsidRDefault="003A415A" w:rsidP="00052EF0">
            <w:pPr>
              <w:rPr>
                <w:b/>
                <w:color w:val="002060"/>
              </w:rPr>
            </w:pPr>
          </w:p>
          <w:p w14:paraId="3E58ADE8" w14:textId="18C46056" w:rsidR="003A415A" w:rsidRPr="00952B4B" w:rsidRDefault="003A415A" w:rsidP="00052EF0">
            <w:pPr>
              <w:rPr>
                <w:b/>
                <w:color w:val="002060"/>
              </w:rPr>
            </w:pPr>
            <w:r w:rsidRPr="00952B4B">
              <w:rPr>
                <w:b/>
                <w:color w:val="002060"/>
              </w:rPr>
              <w:t>KIS 1.b</w:t>
            </w:r>
          </w:p>
          <w:p w14:paraId="40B071EC" w14:textId="77777777" w:rsidR="004279F2" w:rsidRPr="00952B4B" w:rsidRDefault="004279F2" w:rsidP="00052EF0">
            <w:pPr>
              <w:rPr>
                <w:b/>
                <w:color w:val="002060"/>
              </w:rPr>
            </w:pPr>
          </w:p>
          <w:p w14:paraId="6B1462BD" w14:textId="77777777" w:rsidR="003A415A" w:rsidRPr="00952B4B" w:rsidRDefault="003A415A" w:rsidP="00052EF0">
            <w:pPr>
              <w:rPr>
                <w:b/>
                <w:color w:val="FFFFFF" w:themeColor="background1"/>
              </w:rPr>
            </w:pPr>
            <w:r w:rsidRPr="00952B4B">
              <w:rPr>
                <w:b/>
                <w:color w:val="FFFFFF" w:themeColor="background1"/>
              </w:rPr>
              <w:t xml:space="preserve">Wellbeing – Effectively mobilise available resources to support students’ wellbeing and mental health, especially the most vulnerable. </w:t>
            </w:r>
          </w:p>
        </w:tc>
        <w:tc>
          <w:tcPr>
            <w:tcW w:w="881" w:type="pct"/>
          </w:tcPr>
          <w:p w14:paraId="3F81A7C9" w14:textId="7311B365" w:rsidR="006169CC" w:rsidRPr="006169CC" w:rsidRDefault="006169CC" w:rsidP="006169CC">
            <w:pPr>
              <w:spacing w:after="0" w:line="240" w:lineRule="auto"/>
              <w:rPr>
                <w:rFonts w:cstheme="minorHAnsi"/>
              </w:rPr>
            </w:pPr>
            <w:r w:rsidRPr="006169CC">
              <w:rPr>
                <w:rFonts w:cstheme="minorHAnsi"/>
              </w:rPr>
              <w:t xml:space="preserve">Strengthen the whole school approach to support students' attendance, students, staff, and </w:t>
            </w:r>
            <w:r w:rsidR="001F2793" w:rsidRPr="006169CC">
              <w:rPr>
                <w:rFonts w:cstheme="minorHAnsi"/>
              </w:rPr>
              <w:t>family’s</w:t>
            </w:r>
            <w:r w:rsidRPr="006169CC">
              <w:rPr>
                <w:rFonts w:cstheme="minorHAnsi"/>
              </w:rPr>
              <w:t xml:space="preserve"> wellbeing and mental health by: </w:t>
            </w:r>
          </w:p>
          <w:p w14:paraId="6C0EA3EE" w14:textId="47BCD6EB" w:rsidR="006169CC" w:rsidRPr="006169CC" w:rsidRDefault="006169CC" w:rsidP="006169CC">
            <w:pPr>
              <w:spacing w:after="0" w:line="240" w:lineRule="auto"/>
              <w:rPr>
                <w:rFonts w:cstheme="minorHAnsi"/>
              </w:rPr>
            </w:pPr>
            <w:r w:rsidRPr="006169CC">
              <w:rPr>
                <w:rFonts w:cstheme="minorHAnsi"/>
              </w:rPr>
              <w:t xml:space="preserve">- establishing a multi-tiered response model to support students' attendance, mental </w:t>
            </w:r>
            <w:r w:rsidR="001F2793" w:rsidRPr="006169CC">
              <w:rPr>
                <w:rFonts w:cstheme="minorHAnsi"/>
              </w:rPr>
              <w:t>health,</w:t>
            </w:r>
            <w:r w:rsidRPr="006169CC">
              <w:rPr>
                <w:rFonts w:cstheme="minorHAnsi"/>
              </w:rPr>
              <w:t xml:space="preserve"> and wellbeing.</w:t>
            </w:r>
          </w:p>
          <w:p w14:paraId="08B3E078" w14:textId="77777777" w:rsidR="006169CC" w:rsidRPr="006169CC" w:rsidRDefault="006169CC" w:rsidP="006169CC">
            <w:pPr>
              <w:spacing w:after="0" w:line="240" w:lineRule="auto"/>
              <w:rPr>
                <w:rFonts w:cstheme="minorHAnsi"/>
              </w:rPr>
            </w:pPr>
            <w:r w:rsidRPr="006169CC">
              <w:rPr>
                <w:rFonts w:cstheme="minorHAnsi"/>
              </w:rPr>
              <w:t xml:space="preserve">- embedding Respectful Relationships across the school. </w:t>
            </w:r>
          </w:p>
          <w:p w14:paraId="77B70A92" w14:textId="77777777" w:rsidR="006169CC" w:rsidRPr="006169CC" w:rsidRDefault="006169CC" w:rsidP="006169CC">
            <w:pPr>
              <w:spacing w:after="0" w:line="240" w:lineRule="auto"/>
              <w:rPr>
                <w:rFonts w:cstheme="minorHAnsi"/>
              </w:rPr>
            </w:pPr>
            <w:r w:rsidRPr="006169CC">
              <w:rPr>
                <w:rFonts w:cstheme="minorHAnsi"/>
              </w:rPr>
              <w:t xml:space="preserve">- building staff capability in social and emotional learning. </w:t>
            </w:r>
          </w:p>
          <w:p w14:paraId="0C214FCC" w14:textId="441D7EF8" w:rsidR="003A415A" w:rsidRPr="004279F2" w:rsidRDefault="006169CC" w:rsidP="006169CC">
            <w:pPr>
              <w:rPr>
                <w:rFonts w:cstheme="minorHAnsi"/>
                <w:b/>
              </w:rPr>
            </w:pPr>
            <w:r w:rsidRPr="006169CC">
              <w:rPr>
                <w:rFonts w:cstheme="minorHAnsi"/>
              </w:rPr>
              <w:t>- utilising the internal care pathway for identified students in a timely manner.</w:t>
            </w:r>
          </w:p>
        </w:tc>
        <w:tc>
          <w:tcPr>
            <w:tcW w:w="1585" w:type="pct"/>
            <w:gridSpan w:val="2"/>
          </w:tcPr>
          <w:p w14:paraId="7AFFFC64" w14:textId="77777777" w:rsidR="003A415A" w:rsidRDefault="00830335" w:rsidP="006B0A35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cstheme="minorHAnsi"/>
              </w:rPr>
            </w:pPr>
            <w:r w:rsidRPr="001F2793">
              <w:rPr>
                <w:rFonts w:cstheme="minorHAnsi"/>
              </w:rPr>
              <w:t>Implementation of partnership programs, developing Respectful Relationships including staff professional development and the delivery of wellbeing lessons as a whole school approach and additional staffing.</w:t>
            </w:r>
          </w:p>
          <w:p w14:paraId="6D8ABBAB" w14:textId="77777777" w:rsidR="001F2793" w:rsidRPr="001F2793" w:rsidRDefault="001F2793" w:rsidP="006B0A35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cstheme="minorHAnsi"/>
              </w:rPr>
            </w:pPr>
          </w:p>
          <w:p w14:paraId="0891A5F6" w14:textId="2ECA111D" w:rsidR="00830335" w:rsidRDefault="00830335" w:rsidP="006B0A35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cstheme="minorHAnsi"/>
              </w:rPr>
            </w:pPr>
            <w:r w:rsidRPr="001F2793">
              <w:rPr>
                <w:rFonts w:cstheme="minorHAnsi"/>
              </w:rPr>
              <w:t xml:space="preserve">Celebrate achievements, connections and success through assemblies, community days, inquiry learning, </w:t>
            </w:r>
            <w:r w:rsidR="001F2793" w:rsidRPr="001F2793">
              <w:rPr>
                <w:rFonts w:cstheme="minorHAnsi"/>
              </w:rPr>
              <w:t>events,</w:t>
            </w:r>
            <w:r w:rsidRPr="001F2793">
              <w:rPr>
                <w:rFonts w:cstheme="minorHAnsi"/>
              </w:rPr>
              <w:t xml:space="preserve"> and promotion. Unpacking and recognising school values.</w:t>
            </w:r>
          </w:p>
          <w:p w14:paraId="24567213" w14:textId="77777777" w:rsidR="001F2793" w:rsidRPr="001F2793" w:rsidRDefault="001F2793" w:rsidP="006B0A35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cstheme="minorHAnsi"/>
              </w:rPr>
            </w:pPr>
          </w:p>
          <w:p w14:paraId="4117B56E" w14:textId="696EC9D5" w:rsidR="001F2793" w:rsidRDefault="001F2793" w:rsidP="006B0A35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cstheme="minorHAnsi"/>
              </w:rPr>
            </w:pPr>
            <w:r w:rsidRPr="001F2793">
              <w:rPr>
                <w:rFonts w:cstheme="minorHAnsi"/>
              </w:rPr>
              <w:t xml:space="preserve">Wellbeing/Respectful Relationships coordinator to work with students and staff, developing IEPs and setting up regular meetings, developing </w:t>
            </w:r>
            <w:r w:rsidRPr="001F2793">
              <w:rPr>
                <w:rFonts w:cstheme="minorHAnsi"/>
              </w:rPr>
              <w:t>school-based</w:t>
            </w:r>
            <w:r w:rsidRPr="001F2793">
              <w:rPr>
                <w:rFonts w:cstheme="minorHAnsi"/>
              </w:rPr>
              <w:t xml:space="preserve"> surveys and analysing the data, co-ordinating 1:1 or small group catch ups and wellbeing activities.</w:t>
            </w:r>
          </w:p>
          <w:p w14:paraId="29951641" w14:textId="77777777" w:rsidR="001F2793" w:rsidRPr="001F2793" w:rsidRDefault="001F2793" w:rsidP="006B0A35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cstheme="minorHAnsi"/>
              </w:rPr>
            </w:pPr>
          </w:p>
          <w:p w14:paraId="76CC8A8E" w14:textId="39BF4973" w:rsidR="001F2793" w:rsidRPr="006B0A35" w:rsidRDefault="001F2793" w:rsidP="006B0A35">
            <w:pPr>
              <w:pStyle w:val="ListParagraph"/>
              <w:numPr>
                <w:ilvl w:val="0"/>
                <w:numId w:val="13"/>
              </w:numPr>
              <w:ind w:left="325" w:hanging="325"/>
              <w:rPr>
                <w:rFonts w:cstheme="minorHAnsi"/>
                <w:sz w:val="18"/>
                <w:szCs w:val="18"/>
              </w:rPr>
            </w:pPr>
            <w:r w:rsidRPr="001F2793">
              <w:rPr>
                <w:rFonts w:cstheme="minorHAnsi"/>
              </w:rPr>
              <w:t xml:space="preserve">Inspire students through engaging curricula, inquiry learning, </w:t>
            </w:r>
            <w:r w:rsidRPr="001F2793">
              <w:rPr>
                <w:rFonts w:cstheme="minorHAnsi"/>
              </w:rPr>
              <w:t>incursions,</w:t>
            </w:r>
            <w:r w:rsidRPr="001F2793">
              <w:rPr>
                <w:rFonts w:cstheme="minorHAnsi"/>
              </w:rPr>
              <w:t xml:space="preserve"> and excursions such as STOMP and Circus skills</w:t>
            </w:r>
          </w:p>
        </w:tc>
        <w:tc>
          <w:tcPr>
            <w:tcW w:w="1875" w:type="pct"/>
          </w:tcPr>
          <w:p w14:paraId="511456C2" w14:textId="77777777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>Success indicators around strengthening the whole school approach to support students' attendance, wellbeing and mental health will include:</w:t>
            </w:r>
          </w:p>
          <w:p w14:paraId="145141C5" w14:textId="18F3F4DF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 xml:space="preserve">- Teacher </w:t>
            </w:r>
            <w:r w:rsidRPr="001E72E0">
              <w:rPr>
                <w:rFonts w:cstheme="minorHAnsi"/>
                <w:bCs/>
              </w:rPr>
              <w:t>judgements</w:t>
            </w:r>
            <w:r w:rsidRPr="001E72E0">
              <w:rPr>
                <w:rFonts w:cstheme="minorHAnsi"/>
                <w:bCs/>
              </w:rPr>
              <w:t xml:space="preserve"> around the Victorian Curriculum: Personal and Social Capability </w:t>
            </w:r>
            <w:r w:rsidRPr="001E72E0">
              <w:rPr>
                <w:rFonts w:cstheme="minorHAnsi"/>
                <w:bCs/>
              </w:rPr>
              <w:t>and</w:t>
            </w:r>
            <w:r w:rsidRPr="001E72E0">
              <w:rPr>
                <w:rFonts w:cstheme="minorHAnsi"/>
                <w:bCs/>
              </w:rPr>
              <w:t xml:space="preserve"> the schools Social Development and Commitment to Learning Assessment in the end of Semester Reports. </w:t>
            </w:r>
          </w:p>
          <w:p w14:paraId="0C54EE9F" w14:textId="36D74441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 xml:space="preserve">- Attitude to School Survey results in the areas </w:t>
            </w:r>
            <w:r w:rsidRPr="001E72E0">
              <w:rPr>
                <w:rFonts w:cstheme="minorHAnsi"/>
                <w:bCs/>
              </w:rPr>
              <w:t>of ‘</w:t>
            </w:r>
            <w:r w:rsidRPr="001E72E0">
              <w:rPr>
                <w:rFonts w:cstheme="minorHAnsi"/>
                <w:bCs/>
              </w:rPr>
              <w:t>School connectedness’, 'Resilience', '</w:t>
            </w:r>
            <w:r w:rsidRPr="001E72E0">
              <w:rPr>
                <w:rFonts w:cstheme="minorHAnsi"/>
                <w:bCs/>
              </w:rPr>
              <w:t>Self-Regulation</w:t>
            </w:r>
            <w:r w:rsidRPr="001E72E0">
              <w:rPr>
                <w:rFonts w:cstheme="minorHAnsi"/>
                <w:bCs/>
              </w:rPr>
              <w:t>', 'Emotional Awareness', 'Psychological Distress' and ‘Managing bullying’.</w:t>
            </w:r>
          </w:p>
          <w:p w14:paraId="31530B40" w14:textId="77777777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>- Parent Opinion Survey results in the areas of ‘School connectedness’ and ‘Managing bullying’.</w:t>
            </w:r>
          </w:p>
          <w:p w14:paraId="59E366A6" w14:textId="71570423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 xml:space="preserve">- Improved student attendance data overall and for targeted </w:t>
            </w:r>
            <w:r w:rsidRPr="001E72E0">
              <w:rPr>
                <w:rFonts w:cstheme="minorHAnsi"/>
                <w:bCs/>
              </w:rPr>
              <w:t>students Staff</w:t>
            </w:r>
            <w:r w:rsidRPr="001E72E0">
              <w:rPr>
                <w:rFonts w:cstheme="minorHAnsi"/>
                <w:bCs/>
              </w:rPr>
              <w:t xml:space="preserve"> cultural agreement plan. </w:t>
            </w:r>
          </w:p>
          <w:p w14:paraId="03E5C454" w14:textId="77777777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>-Adhering to 'above the belt behaviours' staff cultural agreement, as a whole staff.</w:t>
            </w:r>
          </w:p>
          <w:p w14:paraId="20A96BB6" w14:textId="77777777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>-90% or more of students and parents respond positively to the SSS and POS.</w:t>
            </w:r>
          </w:p>
          <w:p w14:paraId="1E95EA81" w14:textId="635A53BD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 xml:space="preserve">-Internal school-based weekly student </w:t>
            </w:r>
            <w:r w:rsidRPr="001E72E0">
              <w:rPr>
                <w:rFonts w:cstheme="minorHAnsi"/>
                <w:bCs/>
              </w:rPr>
              <w:t>check in</w:t>
            </w:r>
            <w:r w:rsidRPr="001E72E0">
              <w:rPr>
                <w:rFonts w:cstheme="minorHAnsi"/>
                <w:bCs/>
              </w:rPr>
              <w:t xml:space="preserve"> survey and reflection.</w:t>
            </w:r>
          </w:p>
          <w:p w14:paraId="785211FB" w14:textId="77777777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>-Strengthening connections to external well-being supports as needed, engaging services experts as required, communicating to the wider community</w:t>
            </w:r>
          </w:p>
          <w:p w14:paraId="7F88B015" w14:textId="77777777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>-Students and teachers refer to the class pledges, use school value language</w:t>
            </w:r>
          </w:p>
          <w:p w14:paraId="39D81708" w14:textId="77777777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>-Visual whole school RR and Pledges- Wellbeing Structure to be evident within each classroom</w:t>
            </w:r>
          </w:p>
          <w:p w14:paraId="31F85C0F" w14:textId="77777777" w:rsidR="001E72E0" w:rsidRPr="001E72E0" w:rsidRDefault="001E72E0" w:rsidP="001E72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>-Teaching and celebrating two school values each term at assembly.</w:t>
            </w:r>
          </w:p>
          <w:p w14:paraId="5A89A9A3" w14:textId="1FF0703C" w:rsidR="003A415A" w:rsidRPr="004279F2" w:rsidRDefault="001E72E0" w:rsidP="001E72E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bCs/>
              </w:rPr>
            </w:pPr>
            <w:r w:rsidRPr="001E72E0">
              <w:rPr>
                <w:rFonts w:cstheme="minorHAnsi"/>
                <w:bCs/>
              </w:rPr>
              <w:t>-Embedding Respectful Relationships as a whole school.</w:t>
            </w:r>
          </w:p>
        </w:tc>
      </w:tr>
      <w:tr w:rsidR="003A415A" w:rsidRPr="00D07AE9" w14:paraId="0CD94391" w14:textId="77777777" w:rsidTr="00CA1E97">
        <w:tc>
          <w:tcPr>
            <w:tcW w:w="659" w:type="pct"/>
            <w:vMerge/>
            <w:shd w:val="clear" w:color="auto" w:fill="5B9BD5" w:themeFill="accent1"/>
          </w:tcPr>
          <w:p w14:paraId="4F042680" w14:textId="77777777" w:rsidR="003A415A" w:rsidRPr="000A2260" w:rsidRDefault="003A415A" w:rsidP="00052EF0">
            <w:pPr>
              <w:rPr>
                <w:b/>
                <w:color w:val="FFFF00"/>
                <w:sz w:val="18"/>
                <w:szCs w:val="18"/>
              </w:rPr>
            </w:pPr>
          </w:p>
        </w:tc>
        <w:tc>
          <w:tcPr>
            <w:tcW w:w="881" w:type="pct"/>
          </w:tcPr>
          <w:p w14:paraId="6D45CDA5" w14:textId="5FA551A2" w:rsidR="003A415A" w:rsidRPr="006B0A35" w:rsidRDefault="003A415A" w:rsidP="00AB07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5" w:type="pct"/>
            <w:gridSpan w:val="2"/>
          </w:tcPr>
          <w:p w14:paraId="29EF2848" w14:textId="2CDAC431" w:rsidR="003A415A" w:rsidRPr="006B0A35" w:rsidRDefault="003A415A" w:rsidP="003A415A">
            <w:pPr>
              <w:pStyle w:val="ListParagraph"/>
              <w:ind w:left="325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5" w:type="pct"/>
          </w:tcPr>
          <w:p w14:paraId="4ECF96CE" w14:textId="409846A3" w:rsidR="003A415A" w:rsidRPr="00722357" w:rsidRDefault="003A415A" w:rsidP="003A415A">
            <w:pPr>
              <w:pStyle w:val="ListParagraph"/>
              <w:ind w:left="353"/>
              <w:rPr>
                <w:rFonts w:cstheme="minorHAnsi"/>
                <w:sz w:val="18"/>
                <w:szCs w:val="18"/>
              </w:rPr>
            </w:pPr>
          </w:p>
        </w:tc>
      </w:tr>
    </w:tbl>
    <w:p w14:paraId="0601C648" w14:textId="77777777" w:rsidR="00584C67" w:rsidRPr="00D07AE9" w:rsidRDefault="00584C67" w:rsidP="00584C67">
      <w:pPr>
        <w:spacing w:after="0"/>
        <w:rPr>
          <w:sz w:val="20"/>
          <w:szCs w:val="20"/>
        </w:rPr>
      </w:pPr>
    </w:p>
    <w:sectPr w:rsidR="00584C67" w:rsidRPr="00D07AE9" w:rsidSect="00584C67">
      <w:pgSz w:w="16838" w:h="11906" w:orient="landscape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0F8"/>
    <w:multiLevelType w:val="hybridMultilevel"/>
    <w:tmpl w:val="FEBE5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4778F"/>
    <w:multiLevelType w:val="hybridMultilevel"/>
    <w:tmpl w:val="E7B237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094F"/>
    <w:multiLevelType w:val="hybridMultilevel"/>
    <w:tmpl w:val="98624E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A5CE6"/>
    <w:multiLevelType w:val="hybridMultilevel"/>
    <w:tmpl w:val="D56E6C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944FA"/>
    <w:multiLevelType w:val="hybridMultilevel"/>
    <w:tmpl w:val="7D080F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17567"/>
    <w:multiLevelType w:val="hybridMultilevel"/>
    <w:tmpl w:val="2B90B0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5ED3"/>
    <w:multiLevelType w:val="hybridMultilevel"/>
    <w:tmpl w:val="623AD8C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F3449B"/>
    <w:multiLevelType w:val="hybridMultilevel"/>
    <w:tmpl w:val="810AC0B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D6982"/>
    <w:multiLevelType w:val="hybridMultilevel"/>
    <w:tmpl w:val="F6408B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572BA"/>
    <w:multiLevelType w:val="hybridMultilevel"/>
    <w:tmpl w:val="5998B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54BE4"/>
    <w:multiLevelType w:val="hybridMultilevel"/>
    <w:tmpl w:val="7AB63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B6CAE"/>
    <w:multiLevelType w:val="hybridMultilevel"/>
    <w:tmpl w:val="4AC268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5459"/>
    <w:multiLevelType w:val="hybridMultilevel"/>
    <w:tmpl w:val="5A5CD8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477606">
    <w:abstractNumId w:val="5"/>
  </w:num>
  <w:num w:numId="2" w16cid:durableId="299920065">
    <w:abstractNumId w:val="12"/>
  </w:num>
  <w:num w:numId="3" w16cid:durableId="1283465095">
    <w:abstractNumId w:val="1"/>
  </w:num>
  <w:num w:numId="4" w16cid:durableId="433747093">
    <w:abstractNumId w:val="11"/>
  </w:num>
  <w:num w:numId="5" w16cid:durableId="278704">
    <w:abstractNumId w:val="4"/>
  </w:num>
  <w:num w:numId="6" w16cid:durableId="1295527440">
    <w:abstractNumId w:val="8"/>
  </w:num>
  <w:num w:numId="7" w16cid:durableId="1918125691">
    <w:abstractNumId w:val="7"/>
  </w:num>
  <w:num w:numId="8" w16cid:durableId="1542744556">
    <w:abstractNumId w:val="2"/>
  </w:num>
  <w:num w:numId="9" w16cid:durableId="388918470">
    <w:abstractNumId w:val="0"/>
  </w:num>
  <w:num w:numId="10" w16cid:durableId="2058041347">
    <w:abstractNumId w:val="3"/>
  </w:num>
  <w:num w:numId="11" w16cid:durableId="1868447509">
    <w:abstractNumId w:val="9"/>
  </w:num>
  <w:num w:numId="12" w16cid:durableId="193075514">
    <w:abstractNumId w:val="10"/>
  </w:num>
  <w:num w:numId="13" w16cid:durableId="15876902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C67"/>
    <w:rsid w:val="00011D15"/>
    <w:rsid w:val="0001325B"/>
    <w:rsid w:val="000505E8"/>
    <w:rsid w:val="00052EF0"/>
    <w:rsid w:val="000822A3"/>
    <w:rsid w:val="000A2260"/>
    <w:rsid w:val="00120433"/>
    <w:rsid w:val="00133449"/>
    <w:rsid w:val="00135948"/>
    <w:rsid w:val="001428CA"/>
    <w:rsid w:val="00146909"/>
    <w:rsid w:val="001641DF"/>
    <w:rsid w:val="001D2969"/>
    <w:rsid w:val="001D3EC8"/>
    <w:rsid w:val="001E72E0"/>
    <w:rsid w:val="001F2793"/>
    <w:rsid w:val="00223C05"/>
    <w:rsid w:val="002270D8"/>
    <w:rsid w:val="00255AED"/>
    <w:rsid w:val="00265063"/>
    <w:rsid w:val="0027773C"/>
    <w:rsid w:val="002F024F"/>
    <w:rsid w:val="003130BC"/>
    <w:rsid w:val="00316729"/>
    <w:rsid w:val="0031691D"/>
    <w:rsid w:val="00343387"/>
    <w:rsid w:val="00354EED"/>
    <w:rsid w:val="00390976"/>
    <w:rsid w:val="003A415A"/>
    <w:rsid w:val="003A5581"/>
    <w:rsid w:val="003B3D51"/>
    <w:rsid w:val="003E6051"/>
    <w:rsid w:val="003F1604"/>
    <w:rsid w:val="003F19F9"/>
    <w:rsid w:val="00402080"/>
    <w:rsid w:val="004279F2"/>
    <w:rsid w:val="00444F63"/>
    <w:rsid w:val="0044602C"/>
    <w:rsid w:val="00447F81"/>
    <w:rsid w:val="004D58EF"/>
    <w:rsid w:val="004F29D3"/>
    <w:rsid w:val="00505B35"/>
    <w:rsid w:val="00572568"/>
    <w:rsid w:val="00584C67"/>
    <w:rsid w:val="005C7083"/>
    <w:rsid w:val="005E001A"/>
    <w:rsid w:val="005F63E5"/>
    <w:rsid w:val="006169CC"/>
    <w:rsid w:val="006B0A35"/>
    <w:rsid w:val="006B3027"/>
    <w:rsid w:val="006C35E4"/>
    <w:rsid w:val="0070224D"/>
    <w:rsid w:val="00722357"/>
    <w:rsid w:val="007F492C"/>
    <w:rsid w:val="00830335"/>
    <w:rsid w:val="008500A7"/>
    <w:rsid w:val="008C5C0B"/>
    <w:rsid w:val="008D3FEC"/>
    <w:rsid w:val="008D7714"/>
    <w:rsid w:val="008F4163"/>
    <w:rsid w:val="008F6EBC"/>
    <w:rsid w:val="00912B8C"/>
    <w:rsid w:val="00912CE0"/>
    <w:rsid w:val="00930A53"/>
    <w:rsid w:val="00936811"/>
    <w:rsid w:val="00937743"/>
    <w:rsid w:val="0094742F"/>
    <w:rsid w:val="00951E87"/>
    <w:rsid w:val="00952B4B"/>
    <w:rsid w:val="00965074"/>
    <w:rsid w:val="0097412E"/>
    <w:rsid w:val="00974A53"/>
    <w:rsid w:val="009A3DB9"/>
    <w:rsid w:val="009C3238"/>
    <w:rsid w:val="00A04256"/>
    <w:rsid w:val="00A06112"/>
    <w:rsid w:val="00A7558A"/>
    <w:rsid w:val="00AB07F6"/>
    <w:rsid w:val="00AD3CEC"/>
    <w:rsid w:val="00AD4752"/>
    <w:rsid w:val="00B25759"/>
    <w:rsid w:val="00B36BCC"/>
    <w:rsid w:val="00B43917"/>
    <w:rsid w:val="00B47BED"/>
    <w:rsid w:val="00B9277C"/>
    <w:rsid w:val="00B92DEB"/>
    <w:rsid w:val="00B95D7F"/>
    <w:rsid w:val="00BB4813"/>
    <w:rsid w:val="00BB4CF0"/>
    <w:rsid w:val="00C06B9A"/>
    <w:rsid w:val="00C135DB"/>
    <w:rsid w:val="00C416F6"/>
    <w:rsid w:val="00C72BA1"/>
    <w:rsid w:val="00CA1E97"/>
    <w:rsid w:val="00CB6E8C"/>
    <w:rsid w:val="00D07AE9"/>
    <w:rsid w:val="00D26535"/>
    <w:rsid w:val="00D4524D"/>
    <w:rsid w:val="00D46723"/>
    <w:rsid w:val="00D71E52"/>
    <w:rsid w:val="00DD73B8"/>
    <w:rsid w:val="00EC7381"/>
    <w:rsid w:val="00EF040E"/>
    <w:rsid w:val="00F5258E"/>
    <w:rsid w:val="00F73C4C"/>
    <w:rsid w:val="00FC2E6A"/>
    <w:rsid w:val="00FF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922D"/>
  <w15:chartTrackingRefBased/>
  <w15:docId w15:val="{387B3A2A-97CC-4E30-8A11-349586B1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F16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4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074"/>
    <w:pPr>
      <w:ind w:left="720"/>
      <w:contextualSpacing/>
    </w:pPr>
  </w:style>
  <w:style w:type="paragraph" w:customStyle="1" w:styleId="ESBodyText">
    <w:name w:val="ES_Body Text"/>
    <w:basedOn w:val="Normal"/>
    <w:qFormat/>
    <w:rsid w:val="00B36BCC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F1604"/>
    <w:rPr>
      <w:rFonts w:ascii="Times New Roman" w:eastAsia="Times New Roman" w:hAnsi="Times New Roman" w:cs="Times New Roman"/>
      <w:b/>
      <w:b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201681091814590DDD04358E49E02" ma:contentTypeVersion="13" ma:contentTypeDescription="Create a new document." ma:contentTypeScope="" ma:versionID="60d8d132e983717d5aac29362ded780c">
  <xsd:schema xmlns:xsd="http://www.w3.org/2001/XMLSchema" xmlns:xs="http://www.w3.org/2001/XMLSchema" xmlns:p="http://schemas.microsoft.com/office/2006/metadata/properties" xmlns:ns3="bbf29835-4ce6-46d6-bc5f-d11e073fb04c" xmlns:ns4="e7b533a3-10d6-4867-aa4d-ee33be76930f" targetNamespace="http://schemas.microsoft.com/office/2006/metadata/properties" ma:root="true" ma:fieldsID="c62764e703d53700af12d850a2705038" ns3:_="" ns4:_="">
    <xsd:import namespace="bbf29835-4ce6-46d6-bc5f-d11e073fb04c"/>
    <xsd:import namespace="e7b533a3-10d6-4867-aa4d-ee33be7693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29835-4ce6-46d6-bc5f-d11e073fb0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533a3-10d6-4867-aa4d-ee33be769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9282BD-7D6B-4627-9BE6-991DF279B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D6905-BEDB-43CA-BEF5-C1713F0DD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4D1EE-3F3C-4ECD-97F6-043473BCD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29835-4ce6-46d6-bc5f-d11e073fb04c"/>
    <ds:schemaRef ds:uri="e7b533a3-10d6-4867-aa4d-ee33be769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Hayley A</dc:creator>
  <cp:keywords/>
  <dc:description/>
  <cp:lastModifiedBy>Gabriele Hogg</cp:lastModifiedBy>
  <cp:revision>26</cp:revision>
  <cp:lastPrinted>2023-05-19T01:02:00Z</cp:lastPrinted>
  <dcterms:created xsi:type="dcterms:W3CDTF">2022-03-29T00:04:00Z</dcterms:created>
  <dcterms:modified xsi:type="dcterms:W3CDTF">2023-05-19T01:02:00Z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0x0101006CB201681091814590DDD04358E49E02</vt:lpwstr>
  </property>
</Properties>
</file>